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90C" w:rsidRDefault="00A0290C" w:rsidP="00A0290C">
      <w:pPr>
        <w:pStyle w:val="BodyText"/>
        <w:spacing w:before="75"/>
        <w:ind w:left="100"/>
      </w:pPr>
      <w:bookmarkStart w:id="0" w:name="_GoBack"/>
      <w:bookmarkEnd w:id="0"/>
      <w:r>
        <w:rPr>
          <w:color w:val="313056"/>
        </w:rPr>
        <w:t>Annex D: Template for a student protection plan</w:t>
      </w:r>
    </w:p>
    <w:tbl>
      <w:tblPr>
        <w:tblW w:w="0" w:type="auto"/>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611"/>
      </w:tblGrid>
      <w:tr w:rsidR="00A0290C" w:rsidTr="00A0290C">
        <w:trPr>
          <w:trHeight w:val="1996"/>
        </w:trPr>
        <w:tc>
          <w:tcPr>
            <w:tcW w:w="0" w:type="auto"/>
          </w:tcPr>
          <w:p w:rsidR="00A0290C" w:rsidRDefault="00A0290C" w:rsidP="00855A3A">
            <w:pPr>
              <w:pStyle w:val="TableParagraph"/>
              <w:spacing w:before="110" w:line="480" w:lineRule="auto"/>
              <w:ind w:left="57" w:right="5434"/>
              <w:rPr>
                <w:rFonts w:ascii="Arial" w:hAnsi="Arial"/>
              </w:rPr>
            </w:pPr>
            <w:r>
              <w:rPr>
                <w:rFonts w:ascii="Arial" w:hAnsi="Arial"/>
              </w:rPr>
              <w:t>Provider’s name: West Nottinghamshire College Provider’s UKPRN: 10007427</w:t>
            </w:r>
          </w:p>
          <w:p w:rsidR="00A0290C" w:rsidRDefault="00A0290C" w:rsidP="00855A3A">
            <w:pPr>
              <w:pStyle w:val="TableParagraph"/>
              <w:spacing w:before="1"/>
              <w:ind w:left="57"/>
              <w:rPr>
                <w:rFonts w:ascii="Arial"/>
              </w:rPr>
            </w:pPr>
            <w:r>
              <w:rPr>
                <w:rFonts w:ascii="Arial"/>
              </w:rPr>
              <w:t>Legal address: Derby Road, Mansfield, Nottinghamshire, NG18 5BH</w:t>
            </w:r>
          </w:p>
          <w:p w:rsidR="00A0290C" w:rsidRDefault="00A0290C" w:rsidP="00855A3A">
            <w:pPr>
              <w:pStyle w:val="TableParagraph"/>
              <w:rPr>
                <w:rFonts w:ascii="Arial"/>
                <w:b/>
              </w:rPr>
            </w:pPr>
          </w:p>
          <w:p w:rsidR="00A0290C" w:rsidRDefault="00A0290C" w:rsidP="00855A3A">
            <w:pPr>
              <w:pStyle w:val="TableParagraph"/>
              <w:ind w:left="57"/>
              <w:rPr>
                <w:rFonts w:ascii="Arial"/>
              </w:rPr>
            </w:pPr>
            <w:r>
              <w:rPr>
                <w:rFonts w:ascii="Arial"/>
              </w:rPr>
              <w:t>Contact point for enquiries about this plan: Louise Knott (Louise.Knott@wnc.ac.uk)</w:t>
            </w:r>
          </w:p>
        </w:tc>
      </w:tr>
      <w:tr w:rsidR="00A0290C" w:rsidTr="00A0290C">
        <w:trPr>
          <w:trHeight w:val="436"/>
        </w:trPr>
        <w:tc>
          <w:tcPr>
            <w:tcW w:w="0" w:type="auto"/>
          </w:tcPr>
          <w:p w:rsidR="00A0290C" w:rsidRDefault="00A0290C" w:rsidP="00855A3A">
            <w:pPr>
              <w:pStyle w:val="TableParagraph"/>
              <w:spacing w:before="54"/>
              <w:ind w:left="57"/>
              <w:rPr>
                <w:rFonts w:ascii="Arial"/>
                <w:b/>
                <w:sz w:val="28"/>
              </w:rPr>
            </w:pPr>
            <w:r>
              <w:rPr>
                <w:rFonts w:ascii="Arial"/>
                <w:b/>
                <w:sz w:val="28"/>
              </w:rPr>
              <w:t>Student protection plan for the period 2021-22</w:t>
            </w:r>
          </w:p>
        </w:tc>
      </w:tr>
      <w:tr w:rsidR="00A0290C" w:rsidTr="00A0290C">
        <w:trPr>
          <w:trHeight w:val="999"/>
        </w:trPr>
        <w:tc>
          <w:tcPr>
            <w:tcW w:w="0" w:type="auto"/>
            <w:tcBorders>
              <w:bottom w:val="nil"/>
            </w:tcBorders>
          </w:tcPr>
          <w:p w:rsidR="00A0290C" w:rsidRDefault="00A0290C" w:rsidP="00855A3A">
            <w:pPr>
              <w:pStyle w:val="TableParagraph"/>
              <w:spacing w:before="52"/>
              <w:ind w:left="57" w:right="57"/>
              <w:rPr>
                <w:rFonts w:ascii="Arial" w:hAnsi="Arial"/>
                <w:b/>
              </w:rPr>
            </w:pPr>
            <w:r>
              <w:rPr>
                <w:rFonts w:ascii="Arial" w:hAnsi="Arial"/>
                <w:b/>
              </w:rPr>
              <w:t>1. An assessment of the range of risks to the continuation of study for your students, how those risks may differ based on your students’ needs, characteristics and circumstances, and the likelihood that those risks will crystallise.</w:t>
            </w:r>
          </w:p>
        </w:tc>
      </w:tr>
      <w:tr w:rsidR="00A0290C" w:rsidTr="00A0290C">
        <w:trPr>
          <w:trHeight w:val="7391"/>
        </w:trPr>
        <w:tc>
          <w:tcPr>
            <w:tcW w:w="0" w:type="auto"/>
            <w:tcBorders>
              <w:top w:val="nil"/>
            </w:tcBorders>
          </w:tcPr>
          <w:p w:rsidR="00A0290C" w:rsidRDefault="00A0290C" w:rsidP="00855A3A">
            <w:pPr>
              <w:pStyle w:val="TableParagraph"/>
              <w:spacing w:before="181"/>
              <w:ind w:left="57" w:right="200"/>
              <w:rPr>
                <w:rFonts w:ascii="Arial"/>
              </w:rPr>
            </w:pPr>
            <w:r>
              <w:rPr>
                <w:rFonts w:ascii="Arial"/>
              </w:rPr>
              <w:t>The risk that the college as a whole is no longer able to operate is very low. The college is a large general further education college and would fall within the remit of the EFSA insolvency regime. This would provide support and potential for merger with another organisation. In order for these powers to be invoked, the college would need to demonstrate sustained financial instability coupled with significant issues around the quality of provision.</w:t>
            </w:r>
          </w:p>
          <w:p w:rsidR="00A0290C" w:rsidRDefault="00A0290C" w:rsidP="00855A3A">
            <w:pPr>
              <w:pStyle w:val="TableParagraph"/>
              <w:spacing w:before="1"/>
              <w:rPr>
                <w:rFonts w:ascii="Arial"/>
                <w:b/>
              </w:rPr>
            </w:pPr>
          </w:p>
          <w:p w:rsidR="00A0290C" w:rsidRDefault="00A0290C" w:rsidP="00855A3A">
            <w:pPr>
              <w:pStyle w:val="TableParagraph"/>
              <w:ind w:left="76" w:right="230"/>
              <w:rPr>
                <w:rFonts w:ascii="Arial"/>
              </w:rPr>
            </w:pPr>
            <w:r>
              <w:rPr>
                <w:rFonts w:ascii="Arial"/>
              </w:rPr>
              <w:t>Due to the College financial monitoring and control; a recent successful Ofsted and Area Review, and resizing of college budget to fit with reduced income, our financial positon is judged as satisfactory, therefore the risk is low. This is and will be continued to be monitored by external and internal audit, and ESFA provider assurance. This is reviewed as part of the college risk register at executive level.</w:t>
            </w:r>
          </w:p>
          <w:p w:rsidR="00A0290C" w:rsidRDefault="00A0290C" w:rsidP="00855A3A">
            <w:pPr>
              <w:pStyle w:val="TableParagraph"/>
              <w:rPr>
                <w:rFonts w:ascii="Arial"/>
                <w:b/>
              </w:rPr>
            </w:pPr>
          </w:p>
          <w:p w:rsidR="00A0290C" w:rsidRDefault="00A0290C" w:rsidP="00855A3A">
            <w:pPr>
              <w:pStyle w:val="TableParagraph"/>
              <w:ind w:left="57" w:right="200"/>
              <w:rPr>
                <w:rFonts w:ascii="Arial" w:hAnsi="Arial"/>
              </w:rPr>
            </w:pPr>
            <w:r>
              <w:rPr>
                <w:rFonts w:ascii="Arial" w:hAnsi="Arial"/>
              </w:rPr>
              <w:t>The risk that the College is no longer able to run certain programmes within its offering is moderate. The College’s provision is reliant on achieving viable numbers in order to ensure that they can run. As the cohort of learners is quite small generally across the College, there is a risk that individual courses will no longer be able to run as a result of viability concerns. In the last 3 years, 3 courses have been withdrawn from the College’s offer either for one year or permanently.</w:t>
            </w:r>
          </w:p>
          <w:p w:rsidR="00A0290C" w:rsidRDefault="00A0290C" w:rsidP="00855A3A">
            <w:pPr>
              <w:pStyle w:val="TableParagraph"/>
              <w:spacing w:before="11"/>
              <w:rPr>
                <w:rFonts w:ascii="Arial"/>
                <w:b/>
                <w:sz w:val="21"/>
              </w:rPr>
            </w:pPr>
          </w:p>
          <w:p w:rsidR="00A0290C" w:rsidRDefault="00A0290C" w:rsidP="00855A3A">
            <w:pPr>
              <w:pStyle w:val="TableParagraph"/>
              <w:ind w:left="57" w:right="41"/>
              <w:rPr>
                <w:rFonts w:ascii="Arial" w:hAnsi="Arial"/>
              </w:rPr>
            </w:pPr>
            <w:r>
              <w:rPr>
                <w:rFonts w:ascii="Arial" w:hAnsi="Arial"/>
              </w:rPr>
              <w:t>The risk that the College are not able to deliver specialised courses is moderate. The College has a limited expertise for some programmes which means if that individual leaves, the programme cannot run. The size of the College’s provision is such that it is likely that the College will have one lead academic responsible for the development and delivery of HE provision. In specialist areas in particular, this poses a risk to the College should that individual leave. Which ultimately might mean that the programme can no longer run.</w:t>
            </w:r>
          </w:p>
          <w:p w:rsidR="00A0290C" w:rsidRDefault="00A0290C" w:rsidP="00855A3A">
            <w:pPr>
              <w:pStyle w:val="TableParagraph"/>
              <w:rPr>
                <w:rFonts w:ascii="Arial"/>
                <w:b/>
              </w:rPr>
            </w:pPr>
          </w:p>
          <w:p w:rsidR="00A0290C" w:rsidRDefault="00A0290C" w:rsidP="00855A3A">
            <w:pPr>
              <w:pStyle w:val="TableParagraph"/>
              <w:ind w:left="57" w:right="213"/>
              <w:rPr>
                <w:rFonts w:ascii="Arial" w:hAnsi="Arial"/>
              </w:rPr>
            </w:pPr>
            <w:r>
              <w:rPr>
                <w:rFonts w:ascii="Arial" w:hAnsi="Arial"/>
              </w:rPr>
              <w:t>The risk that the College’s validation approval for programmes is revoked is very low. The risk that the College’s validation approval for a range of higher education programmes could be revoked by either partner universities or the awarding body. This may be as a result of significant concerns over quality, and/or student complaints.</w:t>
            </w:r>
          </w:p>
        </w:tc>
      </w:tr>
      <w:tr w:rsidR="00A0290C" w:rsidTr="00D07EE3">
        <w:trPr>
          <w:trHeight w:val="4022"/>
        </w:trPr>
        <w:tc>
          <w:tcPr>
            <w:tcW w:w="0" w:type="auto"/>
          </w:tcPr>
          <w:p w:rsidR="00A0290C" w:rsidRDefault="00A0290C" w:rsidP="00855A3A">
            <w:pPr>
              <w:pStyle w:val="TableParagraph"/>
              <w:spacing w:before="53"/>
              <w:ind w:left="57" w:right="753"/>
              <w:rPr>
                <w:rFonts w:ascii="Arial"/>
                <w:b/>
              </w:rPr>
            </w:pPr>
            <w:r>
              <w:rPr>
                <w:rFonts w:ascii="Arial"/>
                <w:b/>
              </w:rPr>
              <w:lastRenderedPageBreak/>
              <w:t>2. The measures that you have put in place to mitigate those risks that you consider to be reasonably likely to crystallise</w:t>
            </w:r>
          </w:p>
          <w:p w:rsidR="00A0290C" w:rsidRDefault="00A0290C" w:rsidP="00855A3A">
            <w:pPr>
              <w:pStyle w:val="TableParagraph"/>
              <w:spacing w:before="9"/>
              <w:rPr>
                <w:rFonts w:ascii="Arial"/>
                <w:b/>
                <w:sz w:val="25"/>
              </w:rPr>
            </w:pPr>
          </w:p>
          <w:p w:rsidR="00A0290C" w:rsidRDefault="00A0290C" w:rsidP="00855A3A">
            <w:pPr>
              <w:pStyle w:val="TableParagraph"/>
              <w:spacing w:before="1"/>
              <w:ind w:left="136" w:right="634"/>
              <w:rPr>
                <w:rFonts w:ascii="Arial" w:hAnsi="Arial"/>
              </w:rPr>
            </w:pPr>
            <w:r>
              <w:rPr>
                <w:rFonts w:ascii="Arial" w:hAnsi="Arial"/>
              </w:rPr>
              <w:t>We will continue to develop a strategy of having a broader range of staff to teach a ‘specialised subject’ which includes training FE staff with the appropriate qualifications to be able to teach the specialised subject, and develop our database of sessional/associate tutor roles.</w:t>
            </w:r>
          </w:p>
          <w:p w:rsidR="00A0290C" w:rsidRDefault="00A0290C" w:rsidP="00855A3A">
            <w:pPr>
              <w:pStyle w:val="TableParagraph"/>
              <w:spacing w:before="9"/>
              <w:rPr>
                <w:rFonts w:ascii="Arial"/>
                <w:b/>
                <w:sz w:val="21"/>
              </w:rPr>
            </w:pPr>
          </w:p>
          <w:p w:rsidR="00A0290C" w:rsidRDefault="00A0290C" w:rsidP="00855A3A">
            <w:pPr>
              <w:pStyle w:val="TableParagraph"/>
              <w:spacing w:before="1"/>
              <w:ind w:left="136" w:right="133"/>
              <w:rPr>
                <w:rFonts w:ascii="Arial"/>
                <w:b/>
              </w:rPr>
            </w:pPr>
            <w:r>
              <w:rPr>
                <w:rFonts w:ascii="Arial"/>
              </w:rPr>
              <w:t>If we are unable to run a course due to unviable numbers, we will contact the prospective learners as soon as possible to offer them an alternative course or support them to find an alternative institution. All continuing students would be enabled to complete their programme prior to its withdrawal. We will reduce the risk of this occurring by ensuring we continue to analyse our course offer using UCAS data and our own marketing analysis as part of our annual business planning process.</w:t>
            </w:r>
          </w:p>
        </w:tc>
      </w:tr>
    </w:tbl>
    <w:p w:rsidR="00AE4F70" w:rsidRDefault="00ED3E25"/>
    <w:p w:rsidR="00A0290C" w:rsidRDefault="00A0290C" w:rsidP="00A0290C">
      <w:pPr>
        <w:pStyle w:val="TableParagraph"/>
        <w:spacing w:before="55"/>
        <w:ind w:left="57" w:right="1264"/>
        <w:rPr>
          <w:rFonts w:ascii="Arial" w:hAnsi="Arial"/>
        </w:rPr>
      </w:pPr>
      <w:r>
        <w:rPr>
          <w:rFonts w:ascii="Arial" w:hAnsi="Arial"/>
        </w:rPr>
        <w:t>The following is a copy of the College’s fee policy which includes information on refund and compensation:</w:t>
      </w:r>
    </w:p>
    <w:p w:rsidR="00A0290C" w:rsidRDefault="00A0290C" w:rsidP="00A0290C">
      <w:pPr>
        <w:pStyle w:val="TableParagraph"/>
        <w:spacing w:before="55"/>
        <w:ind w:left="57" w:right="1264"/>
        <w:rPr>
          <w:rFonts w:ascii="Arial" w:hAnsi="Arial"/>
        </w:rPr>
      </w:pPr>
    </w:p>
    <w:p w:rsidR="00A0290C" w:rsidRDefault="00A0290C" w:rsidP="00A0290C">
      <w:pPr>
        <w:pStyle w:val="TableParagraph"/>
        <w:ind w:left="57"/>
        <w:rPr>
          <w:b/>
          <w:sz w:val="28"/>
        </w:rPr>
      </w:pPr>
      <w:r>
        <w:rPr>
          <w:b/>
          <w:color w:val="313056"/>
          <w:sz w:val="28"/>
        </w:rPr>
        <w:t>COLLEGE TUITION FEE POLICY FOR 2021/22</w:t>
      </w:r>
    </w:p>
    <w:p w:rsidR="003B4646" w:rsidRPr="00912BC9" w:rsidRDefault="003B4646" w:rsidP="003B4646">
      <w:pPr>
        <w:pStyle w:val="Heading2"/>
        <w:jc w:val="both"/>
        <w:rPr>
          <w:rFonts w:ascii="Calibri" w:hAnsi="Calibri"/>
          <w:i w:val="0"/>
          <w:sz w:val="22"/>
          <w:szCs w:val="22"/>
        </w:rPr>
      </w:pPr>
      <w:r w:rsidRPr="00912BC9">
        <w:rPr>
          <w:rFonts w:ascii="Calibri" w:hAnsi="Calibri"/>
          <w:i w:val="0"/>
          <w:sz w:val="22"/>
          <w:szCs w:val="22"/>
        </w:rPr>
        <w:t>Background</w:t>
      </w:r>
    </w:p>
    <w:p w:rsidR="003B4646" w:rsidRPr="00912BC9" w:rsidRDefault="003B4646" w:rsidP="003B4646">
      <w:pPr>
        <w:jc w:val="both"/>
        <w:rPr>
          <w:rFonts w:ascii="Calibri" w:hAnsi="Calibri"/>
        </w:rPr>
      </w:pPr>
    </w:p>
    <w:p w:rsidR="003B4646" w:rsidRDefault="003B4646" w:rsidP="003B4646">
      <w:pPr>
        <w:numPr>
          <w:ilvl w:val="0"/>
          <w:numId w:val="7"/>
        </w:numPr>
        <w:spacing w:after="0" w:line="240" w:lineRule="auto"/>
        <w:ind w:hanging="720"/>
        <w:jc w:val="both"/>
        <w:rPr>
          <w:rFonts w:ascii="Calibri" w:hAnsi="Calibri"/>
        </w:rPr>
      </w:pPr>
      <w:r w:rsidRPr="00244655">
        <w:rPr>
          <w:rFonts w:ascii="Calibri" w:hAnsi="Calibri"/>
        </w:rPr>
        <w:t xml:space="preserve">The College reviews its fee policy on an annual basis and has seen fee levels rise as Government funding has been targeted on specific groups of adult learners.  </w:t>
      </w:r>
    </w:p>
    <w:p w:rsidR="003B4646" w:rsidRDefault="003B4646" w:rsidP="003B4646">
      <w:pPr>
        <w:ind w:left="720"/>
        <w:jc w:val="both"/>
        <w:rPr>
          <w:rFonts w:ascii="Calibri" w:hAnsi="Calibri"/>
        </w:rPr>
      </w:pPr>
      <w:r>
        <w:rPr>
          <w:rFonts w:ascii="Calibri" w:hAnsi="Calibri"/>
        </w:rPr>
        <w:t xml:space="preserve"> </w:t>
      </w:r>
    </w:p>
    <w:p w:rsidR="003B4646" w:rsidRPr="00244655" w:rsidRDefault="003B4646" w:rsidP="003B4646">
      <w:pPr>
        <w:numPr>
          <w:ilvl w:val="0"/>
          <w:numId w:val="7"/>
        </w:numPr>
        <w:spacing w:after="0" w:line="240" w:lineRule="auto"/>
        <w:ind w:hanging="720"/>
        <w:jc w:val="both"/>
        <w:rPr>
          <w:rFonts w:ascii="Calibri" w:hAnsi="Calibri"/>
        </w:rPr>
      </w:pPr>
      <w:r>
        <w:rPr>
          <w:rFonts w:ascii="Calibri" w:hAnsi="Calibri"/>
        </w:rPr>
        <w:t>As of the 26/2/2021 the ESFA have not confirmed 2021/</w:t>
      </w:r>
      <w:r w:rsidRPr="0022225B">
        <w:rPr>
          <w:rFonts w:ascii="Calibri" w:hAnsi="Calibri"/>
        </w:rPr>
        <w:t>22</w:t>
      </w:r>
      <w:r>
        <w:rPr>
          <w:rFonts w:ascii="Calibri" w:hAnsi="Calibri"/>
        </w:rPr>
        <w:t xml:space="preserve"> funding guidance, small operational changes may be required to respond to the ESFA’s requirements. </w:t>
      </w:r>
    </w:p>
    <w:p w:rsidR="003B4646" w:rsidRPr="00FE5891" w:rsidRDefault="003B4646" w:rsidP="003B4646">
      <w:pPr>
        <w:jc w:val="both"/>
        <w:rPr>
          <w:rFonts w:ascii="Calibri" w:hAnsi="Calibri"/>
        </w:rPr>
      </w:pPr>
    </w:p>
    <w:p w:rsidR="003B4646" w:rsidRPr="00912BC9" w:rsidRDefault="003B4646" w:rsidP="003B4646">
      <w:pPr>
        <w:numPr>
          <w:ilvl w:val="0"/>
          <w:numId w:val="7"/>
        </w:numPr>
        <w:spacing w:after="0" w:line="240" w:lineRule="auto"/>
        <w:ind w:hanging="720"/>
        <w:jc w:val="both"/>
        <w:rPr>
          <w:rFonts w:ascii="Calibri" w:hAnsi="Calibri"/>
        </w:rPr>
      </w:pPr>
      <w:r w:rsidRPr="00912BC9">
        <w:rPr>
          <w:rFonts w:ascii="Calibri" w:hAnsi="Calibri"/>
        </w:rPr>
        <w:t xml:space="preserve">Due to competition law requirements and restrictions, the </w:t>
      </w:r>
      <w:r>
        <w:rPr>
          <w:rFonts w:ascii="Calibri" w:hAnsi="Calibri"/>
        </w:rPr>
        <w:t xml:space="preserve">Education and </w:t>
      </w:r>
      <w:r w:rsidRPr="00912BC9">
        <w:rPr>
          <w:rFonts w:ascii="Calibri" w:hAnsi="Calibri"/>
        </w:rPr>
        <w:t>Skills Funding Agency (</w:t>
      </w:r>
      <w:r>
        <w:rPr>
          <w:rFonts w:ascii="Calibri" w:hAnsi="Calibri"/>
        </w:rPr>
        <w:t>E</w:t>
      </w:r>
      <w:r w:rsidRPr="00912BC9">
        <w:rPr>
          <w:rFonts w:ascii="Calibri" w:hAnsi="Calibri"/>
        </w:rPr>
        <w:t xml:space="preserve">SFA) is not empowered to set college fees.  The setting of fees remains a matter for the College Corporation and is a key role identified within the Instrument and Articles of Association and the Financial Memorandum.  However, the </w:t>
      </w:r>
      <w:r>
        <w:rPr>
          <w:rFonts w:ascii="Calibri" w:hAnsi="Calibri"/>
        </w:rPr>
        <w:t>E</w:t>
      </w:r>
      <w:r w:rsidRPr="00912BC9">
        <w:rPr>
          <w:rFonts w:ascii="Calibri" w:hAnsi="Calibri"/>
        </w:rPr>
        <w:t>SFA and ministers continue to retain an interest in the levels of income raised by FE colleges through fees and each year as Government policy is to balance the contributions for adult learning between the state</w:t>
      </w:r>
      <w:r>
        <w:rPr>
          <w:rFonts w:ascii="Calibri" w:hAnsi="Calibri"/>
        </w:rPr>
        <w:t>,</w:t>
      </w:r>
      <w:r w:rsidRPr="00912BC9">
        <w:rPr>
          <w:rFonts w:ascii="Calibri" w:hAnsi="Calibri"/>
        </w:rPr>
        <w:t xml:space="preserve"> individuals and employers.  </w:t>
      </w:r>
    </w:p>
    <w:p w:rsidR="003B4646" w:rsidRPr="00912BC9" w:rsidRDefault="003B4646" w:rsidP="003B4646">
      <w:pPr>
        <w:pStyle w:val="ListParagraph"/>
        <w:jc w:val="both"/>
        <w:rPr>
          <w:rFonts w:ascii="Calibri" w:hAnsi="Calibri" w:cs="Arial"/>
          <w:lang w:eastAsia="en-GB"/>
        </w:rPr>
      </w:pPr>
    </w:p>
    <w:p w:rsidR="003B4646" w:rsidRPr="00B16851" w:rsidRDefault="003B4646" w:rsidP="003B4646">
      <w:pPr>
        <w:numPr>
          <w:ilvl w:val="0"/>
          <w:numId w:val="7"/>
        </w:numPr>
        <w:spacing w:after="0" w:line="240" w:lineRule="auto"/>
        <w:ind w:hanging="720"/>
        <w:jc w:val="both"/>
        <w:rPr>
          <w:rFonts w:ascii="Calibri" w:hAnsi="Calibri"/>
        </w:rPr>
      </w:pPr>
      <w:r>
        <w:rPr>
          <w:rFonts w:ascii="Calibri" w:hAnsi="Calibri" w:cs="Arial"/>
          <w:lang w:eastAsia="en-GB"/>
        </w:rPr>
        <w:t>The principles underlying t</w:t>
      </w:r>
      <w:r w:rsidRPr="00244655">
        <w:rPr>
          <w:rFonts w:ascii="Calibri" w:hAnsi="Calibri" w:cs="Arial"/>
          <w:lang w:eastAsia="en-GB"/>
        </w:rPr>
        <w:t xml:space="preserve">he </w:t>
      </w:r>
      <w:r>
        <w:rPr>
          <w:rFonts w:ascii="Calibri" w:hAnsi="Calibri" w:cs="Arial"/>
          <w:lang w:eastAsia="en-GB"/>
        </w:rPr>
        <w:t xml:space="preserve">proposed </w:t>
      </w:r>
      <w:r w:rsidRPr="00244655">
        <w:rPr>
          <w:rFonts w:ascii="Calibri" w:hAnsi="Calibri" w:cs="Arial"/>
          <w:lang w:eastAsia="en-GB"/>
        </w:rPr>
        <w:t xml:space="preserve">College Fee Policy for </w:t>
      </w:r>
      <w:r>
        <w:rPr>
          <w:rFonts w:ascii="Calibri" w:hAnsi="Calibri" w:cs="Arial"/>
          <w:lang w:eastAsia="en-GB"/>
        </w:rPr>
        <w:t>2021/22</w:t>
      </w:r>
      <w:r w:rsidRPr="00244655">
        <w:rPr>
          <w:rFonts w:ascii="Calibri" w:hAnsi="Calibri" w:cs="Arial"/>
          <w:lang w:eastAsia="en-GB"/>
        </w:rPr>
        <w:t xml:space="preserve"> remain consistent with prior years. </w:t>
      </w:r>
      <w:r w:rsidRPr="00B16851">
        <w:rPr>
          <w:rFonts w:ascii="Calibri" w:hAnsi="Calibri" w:cs="Arial"/>
          <w:lang w:eastAsia="en-GB"/>
        </w:rPr>
        <w:t xml:space="preserve">The </w:t>
      </w:r>
      <w:r>
        <w:rPr>
          <w:rFonts w:ascii="Calibri" w:hAnsi="Calibri" w:cs="Arial"/>
          <w:lang w:eastAsia="en-GB"/>
        </w:rPr>
        <w:t>key changes are:</w:t>
      </w:r>
    </w:p>
    <w:p w:rsidR="003B4646" w:rsidRDefault="003B4646" w:rsidP="003B4646">
      <w:pPr>
        <w:pStyle w:val="ListParagraph"/>
        <w:rPr>
          <w:rFonts w:ascii="Calibri" w:hAnsi="Calibri"/>
        </w:rPr>
      </w:pPr>
    </w:p>
    <w:p w:rsidR="003B4646" w:rsidRDefault="003B4646" w:rsidP="003B4646">
      <w:pPr>
        <w:numPr>
          <w:ilvl w:val="1"/>
          <w:numId w:val="7"/>
        </w:numPr>
        <w:tabs>
          <w:tab w:val="clear" w:pos="1440"/>
          <w:tab w:val="num" w:pos="1134"/>
        </w:tabs>
        <w:spacing w:after="0" w:line="240" w:lineRule="auto"/>
        <w:ind w:left="1134" w:hanging="425"/>
        <w:jc w:val="both"/>
        <w:rPr>
          <w:rFonts w:ascii="Calibri" w:hAnsi="Calibri"/>
        </w:rPr>
      </w:pPr>
      <w:r>
        <w:rPr>
          <w:rFonts w:ascii="Calibri" w:hAnsi="Calibri"/>
        </w:rPr>
        <w:t>Increased flexibility on direct debit payments for Adult Education programmes that seek to provide access to further learning.</w:t>
      </w:r>
    </w:p>
    <w:p w:rsidR="003B4646" w:rsidRDefault="003B4646" w:rsidP="003B4646">
      <w:pPr>
        <w:pStyle w:val="ListParagraph"/>
        <w:rPr>
          <w:rFonts w:ascii="Calibri" w:hAnsi="Calibri" w:cs="Arial"/>
          <w:highlight w:val="yellow"/>
          <w:lang w:eastAsia="en-GB"/>
        </w:rPr>
      </w:pPr>
    </w:p>
    <w:p w:rsidR="003B4646" w:rsidRDefault="003B4646" w:rsidP="003B4646">
      <w:pPr>
        <w:numPr>
          <w:ilvl w:val="0"/>
          <w:numId w:val="7"/>
        </w:numPr>
        <w:spacing w:after="0" w:line="240" w:lineRule="auto"/>
        <w:ind w:hanging="720"/>
        <w:jc w:val="both"/>
        <w:rPr>
          <w:rFonts w:ascii="Calibri" w:hAnsi="Calibri"/>
        </w:rPr>
      </w:pPr>
      <w:r w:rsidRPr="00912BC9">
        <w:rPr>
          <w:rFonts w:ascii="Calibri" w:hAnsi="Calibri"/>
        </w:rPr>
        <w:t xml:space="preserve">The charging of fees relates primarily to adult learning, either paid by individuals or employers and fee policies always </w:t>
      </w:r>
      <w:r>
        <w:rPr>
          <w:rFonts w:ascii="Calibri" w:hAnsi="Calibri"/>
        </w:rPr>
        <w:t xml:space="preserve">recognise </w:t>
      </w:r>
      <w:r w:rsidRPr="00912BC9">
        <w:rPr>
          <w:rFonts w:ascii="Calibri" w:hAnsi="Calibri"/>
        </w:rPr>
        <w:t xml:space="preserve">established fee remission categories, in particular for 16-18 learners where legislation requires tuition fees not to be charged and for adults in receipt of </w:t>
      </w:r>
      <w:r w:rsidRPr="00912BC9">
        <w:rPr>
          <w:rFonts w:ascii="Calibri" w:hAnsi="Calibri"/>
        </w:rPr>
        <w:lastRenderedPageBreak/>
        <w:t xml:space="preserve">certain benefits.  In recent years remission categories have included those learners studying first full level 2 qualifications and some </w:t>
      </w:r>
      <w:r>
        <w:rPr>
          <w:rFonts w:ascii="Calibri" w:hAnsi="Calibri"/>
        </w:rPr>
        <w:t>basic skills</w:t>
      </w:r>
      <w:r w:rsidRPr="00912BC9">
        <w:rPr>
          <w:rFonts w:ascii="Calibri" w:hAnsi="Calibri"/>
        </w:rPr>
        <w:t xml:space="preserve"> courses.  The College has also established and maintained additional remission categories outside of national policy</w:t>
      </w:r>
      <w:r>
        <w:rPr>
          <w:rFonts w:ascii="Calibri" w:hAnsi="Calibri"/>
        </w:rPr>
        <w:t xml:space="preserve"> in the interests of supporting the local community and providing a pathway into learning and employment</w:t>
      </w:r>
      <w:r w:rsidRPr="00912BC9">
        <w:rPr>
          <w:rFonts w:ascii="Calibri" w:hAnsi="Calibri"/>
        </w:rPr>
        <w:t>.</w:t>
      </w:r>
    </w:p>
    <w:p w:rsidR="003B4646" w:rsidRDefault="003B4646" w:rsidP="003B4646">
      <w:pPr>
        <w:ind w:left="720"/>
        <w:jc w:val="both"/>
        <w:rPr>
          <w:rFonts w:ascii="Calibri" w:hAnsi="Calibri"/>
        </w:rPr>
      </w:pPr>
      <w:r>
        <w:rPr>
          <w:rFonts w:ascii="Calibri" w:hAnsi="Calibri"/>
        </w:rPr>
        <w:t xml:space="preserve"> </w:t>
      </w:r>
    </w:p>
    <w:p w:rsidR="003B4646" w:rsidRDefault="003B4646" w:rsidP="003B4646">
      <w:pPr>
        <w:numPr>
          <w:ilvl w:val="0"/>
          <w:numId w:val="7"/>
        </w:numPr>
        <w:tabs>
          <w:tab w:val="clear" w:pos="720"/>
        </w:tabs>
        <w:spacing w:after="0" w:line="240" w:lineRule="auto"/>
        <w:ind w:left="567" w:hanging="643"/>
        <w:jc w:val="both"/>
        <w:rPr>
          <w:rFonts w:ascii="Calibri" w:hAnsi="Calibri"/>
        </w:rPr>
      </w:pPr>
      <w:r>
        <w:rPr>
          <w:rFonts w:ascii="Calibri" w:hAnsi="Calibri"/>
        </w:rPr>
        <w:t xml:space="preserve">Guidance on the </w:t>
      </w:r>
      <w:r w:rsidRPr="0022225B">
        <w:rPr>
          <w:rFonts w:ascii="Calibri" w:hAnsi="Calibri"/>
          <w:b/>
        </w:rPr>
        <w:t>eligibility of EU Nationals</w:t>
      </w:r>
      <w:r>
        <w:rPr>
          <w:rFonts w:ascii="Calibri" w:hAnsi="Calibri"/>
        </w:rPr>
        <w:t xml:space="preserve">, Nationals of European Economic Community Countries or Irish citizens can be found here  </w:t>
      </w:r>
      <w:r w:rsidRPr="00C91A02">
        <w:rPr>
          <w:rFonts w:ascii="Calibri" w:hAnsi="Calibri"/>
        </w:rPr>
        <w:t>www.gov.uk/guidance/studying-in-the-uk-guidance-for-eu-students</w:t>
      </w:r>
    </w:p>
    <w:p w:rsidR="003B4646" w:rsidRDefault="003B4646" w:rsidP="003B4646">
      <w:pPr>
        <w:ind w:left="720"/>
        <w:jc w:val="both"/>
        <w:rPr>
          <w:rFonts w:ascii="Calibri" w:hAnsi="Calibri"/>
        </w:rPr>
      </w:pPr>
    </w:p>
    <w:p w:rsidR="003B4646" w:rsidRDefault="003B4646" w:rsidP="003B4646">
      <w:pPr>
        <w:jc w:val="both"/>
        <w:rPr>
          <w:rFonts w:ascii="Calibri" w:hAnsi="Calibri"/>
          <w:b/>
        </w:rPr>
      </w:pPr>
      <w:r w:rsidRPr="0045154E">
        <w:rPr>
          <w:rFonts w:ascii="Calibri" w:hAnsi="Calibri"/>
          <w:b/>
        </w:rPr>
        <w:t>Fee Remission Categories</w:t>
      </w:r>
    </w:p>
    <w:p w:rsidR="003B4646" w:rsidRDefault="003B4646" w:rsidP="003B4646">
      <w:pPr>
        <w:jc w:val="both"/>
        <w:rPr>
          <w:rFonts w:ascii="Calibri" w:hAnsi="Calibri"/>
          <w:b/>
        </w:rPr>
      </w:pPr>
    </w:p>
    <w:p w:rsidR="003B4646" w:rsidRDefault="003B4646" w:rsidP="003B4646">
      <w:pPr>
        <w:numPr>
          <w:ilvl w:val="0"/>
          <w:numId w:val="7"/>
        </w:numPr>
        <w:spacing w:after="0" w:line="240" w:lineRule="auto"/>
        <w:ind w:hanging="720"/>
        <w:jc w:val="both"/>
        <w:rPr>
          <w:rFonts w:ascii="Calibri" w:hAnsi="Calibri"/>
        </w:rPr>
      </w:pPr>
      <w:r w:rsidRPr="005B19D0">
        <w:rPr>
          <w:rFonts w:ascii="Calibri" w:hAnsi="Calibri"/>
        </w:rPr>
        <w:t xml:space="preserve">The current policy includes reference to the national fee remission categories as required by the funding guidance, including those for 16-18 learners and adults in receipt of means tested benefits or seeking to move away from benefits and into employment.  </w:t>
      </w:r>
    </w:p>
    <w:p w:rsidR="003B4646" w:rsidRPr="005B19D0" w:rsidRDefault="003B4646" w:rsidP="003B4646">
      <w:pPr>
        <w:jc w:val="both"/>
        <w:rPr>
          <w:rFonts w:ascii="Calibri" w:hAnsi="Calibri"/>
        </w:rPr>
      </w:pPr>
    </w:p>
    <w:p w:rsidR="003B4646" w:rsidRDefault="003B4646" w:rsidP="003B4646">
      <w:pPr>
        <w:numPr>
          <w:ilvl w:val="0"/>
          <w:numId w:val="7"/>
        </w:numPr>
        <w:spacing w:after="0" w:line="240" w:lineRule="auto"/>
        <w:ind w:hanging="720"/>
        <w:jc w:val="both"/>
        <w:rPr>
          <w:rFonts w:ascii="Calibri" w:hAnsi="Calibri"/>
        </w:rPr>
      </w:pPr>
      <w:r>
        <w:rPr>
          <w:rFonts w:ascii="Calibri" w:hAnsi="Calibri"/>
        </w:rPr>
        <w:t xml:space="preserve">All 16-18 year old and 16-24 year old LLDD learners are fully fee remitted as a blanket national policy entitlement. Employers </w:t>
      </w:r>
      <w:r w:rsidRPr="006A2CB6">
        <w:rPr>
          <w:rFonts w:ascii="Calibri" w:hAnsi="Calibri"/>
        </w:rPr>
        <w:t>of 16-18 apprentices and 19+ apprentices with an EHC plan or who have been in local authority care and who are with a small employer with less than 50 employees will not be liable to pay any fees for the programme.  For adult learners the following will</w:t>
      </w:r>
      <w:r>
        <w:rPr>
          <w:rFonts w:ascii="Calibri" w:hAnsi="Calibri"/>
        </w:rPr>
        <w:t xml:space="preserve"> apply from 2021/22:</w:t>
      </w:r>
    </w:p>
    <w:p w:rsidR="003B4646" w:rsidRPr="00895381" w:rsidRDefault="003B4646" w:rsidP="003B4646">
      <w:pPr>
        <w:ind w:firstLine="720"/>
        <w:rPr>
          <w:rFonts w:ascii="Calibri" w:hAnsi="Calibri"/>
          <w:u w:val="single"/>
        </w:rPr>
      </w:pPr>
      <w:r w:rsidRPr="00895381">
        <w:rPr>
          <w:rFonts w:ascii="Calibri" w:hAnsi="Calibri"/>
          <w:u w:val="single"/>
        </w:rPr>
        <w:t>Fully Remitted Fees</w:t>
      </w:r>
    </w:p>
    <w:p w:rsidR="003B4646" w:rsidRPr="00895381" w:rsidRDefault="003B4646" w:rsidP="003B4646">
      <w:pPr>
        <w:rPr>
          <w:rFonts w:ascii="Calibri" w:hAnsi="Calibr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6"/>
        <w:gridCol w:w="2673"/>
      </w:tblGrid>
      <w:tr w:rsidR="003B4646" w:rsidRPr="00895381" w:rsidTr="00CF18DC">
        <w:trPr>
          <w:tblHeader/>
        </w:trPr>
        <w:tc>
          <w:tcPr>
            <w:tcW w:w="5954" w:type="dxa"/>
            <w:shd w:val="clear" w:color="auto" w:fill="BFBFBF"/>
          </w:tcPr>
          <w:p w:rsidR="003B4646" w:rsidRPr="00895381" w:rsidRDefault="003B4646" w:rsidP="00CF18DC">
            <w:pPr>
              <w:rPr>
                <w:rFonts w:ascii="Calibri" w:hAnsi="Calibri"/>
                <w:b/>
              </w:rPr>
            </w:pPr>
            <w:r w:rsidRPr="00895381">
              <w:rPr>
                <w:rFonts w:ascii="Calibri" w:hAnsi="Calibri"/>
                <w:b/>
              </w:rPr>
              <w:t>Provision</w:t>
            </w:r>
          </w:p>
        </w:tc>
        <w:tc>
          <w:tcPr>
            <w:tcW w:w="2835" w:type="dxa"/>
            <w:shd w:val="clear" w:color="auto" w:fill="BFBFBF"/>
          </w:tcPr>
          <w:p w:rsidR="003B4646" w:rsidRPr="00895381" w:rsidRDefault="003B4646" w:rsidP="00CF18DC">
            <w:pPr>
              <w:rPr>
                <w:rFonts w:ascii="Calibri" w:hAnsi="Calibri"/>
                <w:b/>
              </w:rPr>
            </w:pPr>
            <w:r w:rsidRPr="00895381">
              <w:rPr>
                <w:rFonts w:ascii="Calibri" w:hAnsi="Calibri"/>
                <w:b/>
              </w:rPr>
              <w:t>Learner</w:t>
            </w:r>
          </w:p>
        </w:tc>
      </w:tr>
      <w:tr w:rsidR="003B4646" w:rsidRPr="00895381" w:rsidTr="00CF18DC">
        <w:tc>
          <w:tcPr>
            <w:tcW w:w="5954" w:type="dxa"/>
            <w:shd w:val="clear" w:color="auto" w:fill="auto"/>
          </w:tcPr>
          <w:p w:rsidR="003B4646" w:rsidRPr="00895381" w:rsidRDefault="003B4646" w:rsidP="00CF18DC">
            <w:pPr>
              <w:rPr>
                <w:rFonts w:ascii="Calibri" w:hAnsi="Calibri"/>
              </w:rPr>
            </w:pPr>
            <w:r w:rsidRPr="00895381">
              <w:rPr>
                <w:rFonts w:ascii="Calibri" w:hAnsi="Calibri"/>
              </w:rPr>
              <w:t>English and maths qualifications and units to help adults progress to GCSE A* to C (Level 2)</w:t>
            </w:r>
          </w:p>
        </w:tc>
        <w:tc>
          <w:tcPr>
            <w:tcW w:w="2835" w:type="dxa"/>
            <w:shd w:val="clear" w:color="auto" w:fill="auto"/>
          </w:tcPr>
          <w:p w:rsidR="003B4646" w:rsidRPr="00895381" w:rsidRDefault="003B4646" w:rsidP="00CF18DC">
            <w:pPr>
              <w:rPr>
                <w:rFonts w:ascii="Calibri" w:hAnsi="Calibri"/>
              </w:rPr>
            </w:pPr>
            <w:r w:rsidRPr="00895381">
              <w:rPr>
                <w:rFonts w:ascii="Calibri" w:hAnsi="Calibri"/>
              </w:rPr>
              <w:t>Learners aged 19 and over</w:t>
            </w:r>
          </w:p>
        </w:tc>
      </w:tr>
      <w:tr w:rsidR="003B4646" w:rsidRPr="00895381" w:rsidTr="00CF18DC">
        <w:tc>
          <w:tcPr>
            <w:tcW w:w="5954" w:type="dxa"/>
            <w:shd w:val="clear" w:color="auto" w:fill="auto"/>
          </w:tcPr>
          <w:p w:rsidR="003B4646" w:rsidRPr="00895381" w:rsidRDefault="003B4646" w:rsidP="00CF18DC">
            <w:pPr>
              <w:rPr>
                <w:rFonts w:ascii="Calibri" w:hAnsi="Calibri"/>
              </w:rPr>
            </w:pPr>
            <w:r w:rsidRPr="00895381">
              <w:rPr>
                <w:rFonts w:ascii="Calibri" w:hAnsi="Calibri"/>
              </w:rPr>
              <w:t>Traineeships to help young people progress to an Apprenticeship or other job</w:t>
            </w:r>
          </w:p>
        </w:tc>
        <w:tc>
          <w:tcPr>
            <w:tcW w:w="2835" w:type="dxa"/>
            <w:shd w:val="clear" w:color="auto" w:fill="auto"/>
          </w:tcPr>
          <w:p w:rsidR="003B4646" w:rsidRPr="00895381" w:rsidRDefault="003B4646" w:rsidP="00CF18DC">
            <w:pPr>
              <w:rPr>
                <w:rFonts w:ascii="Calibri" w:hAnsi="Calibri"/>
              </w:rPr>
            </w:pPr>
            <w:r w:rsidRPr="00895381">
              <w:rPr>
                <w:rFonts w:ascii="Calibri" w:hAnsi="Calibri"/>
              </w:rPr>
              <w:t>Young people aged 16 to 24</w:t>
            </w:r>
          </w:p>
        </w:tc>
      </w:tr>
      <w:tr w:rsidR="003B4646" w:rsidRPr="00895381" w:rsidTr="00CF18DC">
        <w:tc>
          <w:tcPr>
            <w:tcW w:w="5954" w:type="dxa"/>
            <w:shd w:val="clear" w:color="auto" w:fill="auto"/>
          </w:tcPr>
          <w:p w:rsidR="003B4646" w:rsidRPr="00895381" w:rsidRDefault="003B4646" w:rsidP="00CF18DC">
            <w:pPr>
              <w:rPr>
                <w:rFonts w:ascii="Calibri" w:hAnsi="Calibri"/>
              </w:rPr>
            </w:pPr>
            <w:r w:rsidRPr="00895381">
              <w:rPr>
                <w:rFonts w:ascii="Calibri" w:hAnsi="Calibri"/>
              </w:rPr>
              <w:t>Qualifications (up to and including Level 2) to help adults into work</w:t>
            </w:r>
          </w:p>
        </w:tc>
        <w:tc>
          <w:tcPr>
            <w:tcW w:w="2835" w:type="dxa"/>
            <w:shd w:val="clear" w:color="auto" w:fill="auto"/>
          </w:tcPr>
          <w:p w:rsidR="003B4646" w:rsidRPr="00895381" w:rsidRDefault="003B4646" w:rsidP="00CF18DC">
            <w:pPr>
              <w:rPr>
                <w:rFonts w:ascii="Calibri" w:hAnsi="Calibri"/>
              </w:rPr>
            </w:pPr>
            <w:r w:rsidRPr="00895381">
              <w:rPr>
                <w:rFonts w:ascii="Calibri" w:hAnsi="Calibri"/>
              </w:rPr>
              <w:t>Learners aged 19 and over</w:t>
            </w:r>
          </w:p>
        </w:tc>
      </w:tr>
      <w:tr w:rsidR="003B4646" w:rsidRPr="00895381" w:rsidTr="00CF18DC">
        <w:tc>
          <w:tcPr>
            <w:tcW w:w="5954" w:type="dxa"/>
            <w:shd w:val="clear" w:color="auto" w:fill="auto"/>
          </w:tcPr>
          <w:p w:rsidR="003B4646" w:rsidRPr="006A2CB6" w:rsidRDefault="003B4646" w:rsidP="00CF18DC">
            <w:pPr>
              <w:pStyle w:val="Default"/>
              <w:spacing w:after="80"/>
              <w:rPr>
                <w:rFonts w:ascii="Calibri" w:hAnsi="Calibri"/>
                <w:color w:val="auto"/>
              </w:rPr>
            </w:pPr>
            <w:r w:rsidRPr="006A2CB6">
              <w:rPr>
                <w:rFonts w:ascii="Calibri" w:hAnsi="Calibri"/>
                <w:color w:val="auto"/>
                <w:sz w:val="22"/>
                <w:szCs w:val="22"/>
              </w:rPr>
              <w:t>Qualifications (Level 3 or above) to help adults into work – only first full level 3 (as below)</w:t>
            </w:r>
          </w:p>
        </w:tc>
        <w:tc>
          <w:tcPr>
            <w:tcW w:w="2835" w:type="dxa"/>
            <w:shd w:val="clear" w:color="auto" w:fill="auto"/>
          </w:tcPr>
          <w:p w:rsidR="003B4646" w:rsidRPr="006A2CB6" w:rsidRDefault="003B4646" w:rsidP="00CF18DC">
            <w:pPr>
              <w:rPr>
                <w:rFonts w:ascii="Calibri" w:hAnsi="Calibri"/>
              </w:rPr>
            </w:pPr>
            <w:r w:rsidRPr="006A2CB6">
              <w:rPr>
                <w:rFonts w:ascii="Calibri" w:hAnsi="Calibri"/>
              </w:rPr>
              <w:t>Learners aged 19 to 23</w:t>
            </w:r>
          </w:p>
        </w:tc>
      </w:tr>
      <w:tr w:rsidR="003B4646" w:rsidRPr="00895381" w:rsidTr="00CF18DC">
        <w:tc>
          <w:tcPr>
            <w:tcW w:w="5954" w:type="dxa"/>
            <w:shd w:val="clear" w:color="auto" w:fill="auto"/>
          </w:tcPr>
          <w:p w:rsidR="003B4646" w:rsidRPr="00895381" w:rsidRDefault="003B4646" w:rsidP="00CF18DC">
            <w:pPr>
              <w:pStyle w:val="Default"/>
              <w:spacing w:after="80"/>
              <w:rPr>
                <w:rFonts w:ascii="Calibri" w:hAnsi="Calibri"/>
              </w:rPr>
            </w:pPr>
            <w:r w:rsidRPr="00895381">
              <w:rPr>
                <w:rFonts w:ascii="Calibri" w:hAnsi="Calibri"/>
                <w:sz w:val="22"/>
                <w:szCs w:val="22"/>
              </w:rPr>
              <w:t>Entry and Level 1 qualifications</w:t>
            </w:r>
            <w:r w:rsidRPr="00895381">
              <w:rPr>
                <w:rFonts w:ascii="Calibri" w:hAnsi="Calibri"/>
                <w:sz w:val="14"/>
                <w:szCs w:val="14"/>
              </w:rPr>
              <w:t xml:space="preserve"> </w:t>
            </w:r>
            <w:r w:rsidRPr="00895381">
              <w:rPr>
                <w:rFonts w:ascii="Calibri" w:hAnsi="Calibri"/>
                <w:sz w:val="22"/>
                <w:szCs w:val="22"/>
              </w:rPr>
              <w:t xml:space="preserve">(not English, maths or ESOL) to help adults to progress to their first full Level 2 </w:t>
            </w:r>
          </w:p>
        </w:tc>
        <w:tc>
          <w:tcPr>
            <w:tcW w:w="2835" w:type="dxa"/>
            <w:shd w:val="clear" w:color="auto" w:fill="auto"/>
          </w:tcPr>
          <w:p w:rsidR="003B4646" w:rsidRPr="00895381" w:rsidRDefault="003B4646" w:rsidP="00CF18DC">
            <w:pPr>
              <w:rPr>
                <w:rFonts w:ascii="Calibri" w:hAnsi="Calibri"/>
              </w:rPr>
            </w:pPr>
            <w:r w:rsidRPr="00895381">
              <w:rPr>
                <w:rFonts w:ascii="Calibri" w:hAnsi="Calibri"/>
              </w:rPr>
              <w:t>Learners aged 19 to 23</w:t>
            </w:r>
          </w:p>
        </w:tc>
      </w:tr>
      <w:tr w:rsidR="003B4646" w:rsidRPr="00895381" w:rsidTr="00CF18DC">
        <w:tc>
          <w:tcPr>
            <w:tcW w:w="5954" w:type="dxa"/>
            <w:shd w:val="clear" w:color="auto" w:fill="auto"/>
          </w:tcPr>
          <w:p w:rsidR="003B4646" w:rsidRPr="00895381" w:rsidRDefault="003B4646" w:rsidP="00CF18DC">
            <w:pPr>
              <w:pStyle w:val="Default"/>
              <w:spacing w:after="80"/>
              <w:rPr>
                <w:rFonts w:ascii="Calibri" w:hAnsi="Calibri"/>
              </w:rPr>
            </w:pPr>
            <w:r w:rsidRPr="00895381">
              <w:rPr>
                <w:rFonts w:ascii="Calibri" w:hAnsi="Calibri"/>
                <w:sz w:val="22"/>
                <w:szCs w:val="22"/>
              </w:rPr>
              <w:t>First full</w:t>
            </w:r>
            <w:r w:rsidRPr="00895381">
              <w:rPr>
                <w:rFonts w:ascii="Calibri" w:hAnsi="Calibri"/>
                <w:sz w:val="14"/>
                <w:szCs w:val="14"/>
              </w:rPr>
              <w:t xml:space="preserve"> </w:t>
            </w:r>
            <w:r w:rsidRPr="00895381">
              <w:rPr>
                <w:rFonts w:ascii="Calibri" w:hAnsi="Calibri"/>
                <w:sz w:val="22"/>
                <w:szCs w:val="22"/>
              </w:rPr>
              <w:t xml:space="preserve">Level 2 qualification </w:t>
            </w:r>
          </w:p>
        </w:tc>
        <w:tc>
          <w:tcPr>
            <w:tcW w:w="2835" w:type="dxa"/>
            <w:shd w:val="clear" w:color="auto" w:fill="auto"/>
          </w:tcPr>
          <w:p w:rsidR="003B4646" w:rsidRPr="00895381" w:rsidRDefault="003B4646" w:rsidP="00CF18DC">
            <w:pPr>
              <w:rPr>
                <w:rFonts w:ascii="Calibri" w:hAnsi="Calibri"/>
              </w:rPr>
            </w:pPr>
            <w:r w:rsidRPr="00895381">
              <w:rPr>
                <w:rFonts w:ascii="Calibri" w:hAnsi="Calibri"/>
              </w:rPr>
              <w:t>Learners aged 19 to 23</w:t>
            </w:r>
          </w:p>
        </w:tc>
      </w:tr>
      <w:tr w:rsidR="003B4646" w:rsidRPr="00895381" w:rsidTr="00CF18DC">
        <w:tc>
          <w:tcPr>
            <w:tcW w:w="5954" w:type="dxa"/>
            <w:shd w:val="clear" w:color="auto" w:fill="auto"/>
          </w:tcPr>
          <w:p w:rsidR="003B4646" w:rsidRPr="00895381" w:rsidRDefault="003B4646" w:rsidP="00CF18DC">
            <w:pPr>
              <w:pStyle w:val="Default"/>
              <w:spacing w:after="80"/>
              <w:rPr>
                <w:rFonts w:ascii="Calibri" w:hAnsi="Calibri"/>
              </w:rPr>
            </w:pPr>
            <w:r w:rsidRPr="00895381">
              <w:rPr>
                <w:rFonts w:ascii="Calibri" w:hAnsi="Calibri"/>
                <w:sz w:val="22"/>
                <w:szCs w:val="22"/>
              </w:rPr>
              <w:t>First full</w:t>
            </w:r>
            <w:r w:rsidRPr="00895381">
              <w:rPr>
                <w:rFonts w:ascii="Calibri" w:hAnsi="Calibri"/>
                <w:sz w:val="14"/>
                <w:szCs w:val="14"/>
              </w:rPr>
              <w:t xml:space="preserve"> </w:t>
            </w:r>
            <w:r w:rsidRPr="00895381">
              <w:rPr>
                <w:rFonts w:ascii="Calibri" w:hAnsi="Calibri"/>
                <w:sz w:val="22"/>
                <w:szCs w:val="22"/>
              </w:rPr>
              <w:t xml:space="preserve">Level 3 qualification </w:t>
            </w:r>
          </w:p>
        </w:tc>
        <w:tc>
          <w:tcPr>
            <w:tcW w:w="2835" w:type="dxa"/>
            <w:shd w:val="clear" w:color="auto" w:fill="auto"/>
          </w:tcPr>
          <w:p w:rsidR="003B4646" w:rsidRDefault="003B4646" w:rsidP="00CF18DC">
            <w:pPr>
              <w:rPr>
                <w:rFonts w:ascii="Calibri" w:hAnsi="Calibri"/>
              </w:rPr>
            </w:pPr>
            <w:r w:rsidRPr="00895381">
              <w:rPr>
                <w:rFonts w:ascii="Calibri" w:hAnsi="Calibri"/>
              </w:rPr>
              <w:t>Learners aged 19 to 23</w:t>
            </w:r>
          </w:p>
          <w:p w:rsidR="003B4646" w:rsidRPr="00895381" w:rsidRDefault="003B4646" w:rsidP="00CF18DC">
            <w:pPr>
              <w:rPr>
                <w:rFonts w:ascii="Calibri" w:hAnsi="Calibri"/>
              </w:rPr>
            </w:pPr>
            <w:r>
              <w:rPr>
                <w:rFonts w:ascii="Calibri" w:hAnsi="Calibri"/>
              </w:rPr>
              <w:t>24+ while ESFA provide this additional exemption</w:t>
            </w:r>
          </w:p>
        </w:tc>
      </w:tr>
      <w:tr w:rsidR="003B4646" w:rsidRPr="00895381" w:rsidTr="00CF18DC">
        <w:tc>
          <w:tcPr>
            <w:tcW w:w="5954" w:type="dxa"/>
            <w:shd w:val="clear" w:color="auto" w:fill="auto"/>
          </w:tcPr>
          <w:p w:rsidR="003B4646" w:rsidRPr="00895381" w:rsidRDefault="003B4646" w:rsidP="00CF18DC">
            <w:pPr>
              <w:pStyle w:val="Default"/>
              <w:spacing w:after="80"/>
              <w:rPr>
                <w:rFonts w:ascii="Calibri" w:hAnsi="Calibri"/>
                <w:sz w:val="22"/>
                <w:szCs w:val="22"/>
              </w:rPr>
            </w:pPr>
            <w:r>
              <w:rPr>
                <w:rFonts w:ascii="Calibri" w:hAnsi="Calibri"/>
                <w:sz w:val="22"/>
                <w:szCs w:val="22"/>
              </w:rPr>
              <w:t>Learners on low wages</w:t>
            </w:r>
          </w:p>
        </w:tc>
        <w:tc>
          <w:tcPr>
            <w:tcW w:w="2835" w:type="dxa"/>
            <w:shd w:val="clear" w:color="auto" w:fill="auto"/>
          </w:tcPr>
          <w:p w:rsidR="003B4646" w:rsidRPr="00895381" w:rsidRDefault="003B4646" w:rsidP="00CF18DC">
            <w:pPr>
              <w:rPr>
                <w:rFonts w:ascii="Calibri" w:hAnsi="Calibri"/>
              </w:rPr>
            </w:pPr>
            <w:r>
              <w:rPr>
                <w:rFonts w:ascii="Calibri" w:hAnsi="Calibri"/>
              </w:rPr>
              <w:t>Threshold £17,004 as at 26/2/2021</w:t>
            </w:r>
          </w:p>
        </w:tc>
      </w:tr>
    </w:tbl>
    <w:p w:rsidR="003B4646" w:rsidRPr="00895381" w:rsidRDefault="003B4646" w:rsidP="003B4646">
      <w:pPr>
        <w:rPr>
          <w:rFonts w:ascii="Calibri" w:hAnsi="Calibri"/>
        </w:rPr>
      </w:pPr>
      <w:r w:rsidRPr="00895381">
        <w:rPr>
          <w:rFonts w:ascii="Calibri" w:hAnsi="Calibri"/>
        </w:rPr>
        <w:t xml:space="preserve"> </w:t>
      </w:r>
    </w:p>
    <w:p w:rsidR="003B4646" w:rsidRDefault="003B4646" w:rsidP="003B4646">
      <w:pPr>
        <w:ind w:firstLine="720"/>
        <w:rPr>
          <w:rFonts w:ascii="Calibri" w:hAnsi="Calibri"/>
          <w:u w:val="single"/>
        </w:rPr>
      </w:pPr>
      <w:r>
        <w:rPr>
          <w:rFonts w:ascii="Calibri" w:hAnsi="Calibri"/>
          <w:u w:val="single"/>
        </w:rPr>
        <w:lastRenderedPageBreak/>
        <w:t>Contribution towards cost of study (co-funded)</w:t>
      </w:r>
    </w:p>
    <w:p w:rsidR="003B4646" w:rsidRPr="006C68EE" w:rsidRDefault="003B4646" w:rsidP="003B4646">
      <w:pPr>
        <w:ind w:firstLine="720"/>
        <w:rPr>
          <w:rFonts w:ascii="Calibri" w:hAnsi="Calibri"/>
        </w:rPr>
      </w:pPr>
      <w:r w:rsidRPr="006C68EE">
        <w:rPr>
          <w:rFonts w:ascii="Calibri" w:hAnsi="Calibri"/>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5356"/>
      </w:tblGrid>
      <w:tr w:rsidR="003B4646" w:rsidRPr="00895381" w:rsidTr="00CF18DC">
        <w:tc>
          <w:tcPr>
            <w:tcW w:w="2977" w:type="dxa"/>
            <w:shd w:val="clear" w:color="auto" w:fill="BFBFBF"/>
          </w:tcPr>
          <w:p w:rsidR="003B4646" w:rsidRPr="00895381" w:rsidRDefault="003B4646" w:rsidP="00CF18DC">
            <w:pPr>
              <w:rPr>
                <w:rFonts w:ascii="Calibri" w:hAnsi="Calibri"/>
                <w:b/>
              </w:rPr>
            </w:pPr>
            <w:r w:rsidRPr="00895381">
              <w:rPr>
                <w:rFonts w:ascii="Calibri" w:hAnsi="Calibri"/>
                <w:b/>
              </w:rPr>
              <w:t>Provision</w:t>
            </w:r>
          </w:p>
        </w:tc>
        <w:tc>
          <w:tcPr>
            <w:tcW w:w="5812" w:type="dxa"/>
            <w:shd w:val="clear" w:color="auto" w:fill="BFBFBF"/>
          </w:tcPr>
          <w:p w:rsidR="003B4646" w:rsidRPr="00895381" w:rsidRDefault="003B4646" w:rsidP="00CF18DC">
            <w:pPr>
              <w:rPr>
                <w:rFonts w:ascii="Calibri" w:hAnsi="Calibri"/>
                <w:b/>
              </w:rPr>
            </w:pPr>
            <w:r w:rsidRPr="00895381">
              <w:rPr>
                <w:rFonts w:ascii="Calibri" w:hAnsi="Calibri"/>
                <w:b/>
              </w:rPr>
              <w:t>Learner</w:t>
            </w:r>
          </w:p>
        </w:tc>
      </w:tr>
      <w:tr w:rsidR="003B4646" w:rsidRPr="00895381" w:rsidTr="00CF18DC">
        <w:tc>
          <w:tcPr>
            <w:tcW w:w="2977" w:type="dxa"/>
            <w:shd w:val="clear" w:color="auto" w:fill="auto"/>
          </w:tcPr>
          <w:p w:rsidR="003B4646" w:rsidRPr="00FC39EC" w:rsidRDefault="003B4646" w:rsidP="00CF18DC">
            <w:pPr>
              <w:pStyle w:val="Default"/>
              <w:rPr>
                <w:rFonts w:ascii="Calibri" w:hAnsi="Calibri"/>
                <w:sz w:val="22"/>
                <w:szCs w:val="22"/>
              </w:rPr>
            </w:pPr>
            <w:r w:rsidRPr="00895381">
              <w:rPr>
                <w:rFonts w:ascii="Calibri" w:hAnsi="Calibri"/>
                <w:sz w:val="22"/>
                <w:szCs w:val="22"/>
              </w:rPr>
              <w:t xml:space="preserve">Apprenticeships </w:t>
            </w:r>
          </w:p>
        </w:tc>
        <w:tc>
          <w:tcPr>
            <w:tcW w:w="5812" w:type="dxa"/>
            <w:shd w:val="clear" w:color="auto" w:fill="auto"/>
          </w:tcPr>
          <w:p w:rsidR="003B4646" w:rsidRPr="00895381" w:rsidRDefault="003B4646" w:rsidP="00CF18DC">
            <w:pPr>
              <w:pStyle w:val="Default"/>
              <w:rPr>
                <w:rFonts w:ascii="Calibri" w:hAnsi="Calibri"/>
                <w:sz w:val="22"/>
                <w:szCs w:val="22"/>
              </w:rPr>
            </w:pPr>
            <w:r w:rsidRPr="00895381">
              <w:rPr>
                <w:rFonts w:ascii="Calibri" w:hAnsi="Calibri"/>
                <w:sz w:val="22"/>
                <w:szCs w:val="22"/>
              </w:rPr>
              <w:t xml:space="preserve">Apprentices </w:t>
            </w:r>
            <w:r>
              <w:rPr>
                <w:rFonts w:ascii="Calibri" w:hAnsi="Calibri"/>
                <w:sz w:val="22"/>
                <w:szCs w:val="22"/>
              </w:rPr>
              <w:t>of non-levy employers, and where levy employers have fully utilised their levy. These employers will pay the full fee required by the ESFA.</w:t>
            </w:r>
          </w:p>
        </w:tc>
      </w:tr>
      <w:tr w:rsidR="003B4646" w:rsidRPr="00895381" w:rsidTr="00CF18DC">
        <w:tc>
          <w:tcPr>
            <w:tcW w:w="2977" w:type="dxa"/>
            <w:shd w:val="clear" w:color="auto" w:fill="auto"/>
          </w:tcPr>
          <w:p w:rsidR="003B4646" w:rsidRPr="00895381" w:rsidRDefault="003B4646" w:rsidP="00CF18DC">
            <w:pPr>
              <w:pStyle w:val="Default"/>
              <w:rPr>
                <w:rFonts w:ascii="Calibri" w:hAnsi="Calibri"/>
                <w:sz w:val="22"/>
                <w:szCs w:val="22"/>
              </w:rPr>
            </w:pPr>
            <w:r w:rsidRPr="00895381">
              <w:rPr>
                <w:rFonts w:ascii="Calibri" w:hAnsi="Calibri"/>
                <w:sz w:val="22"/>
                <w:szCs w:val="22"/>
              </w:rPr>
              <w:t>Entry, Level 1 and Level 2 q</w:t>
            </w:r>
            <w:r>
              <w:rPr>
                <w:rFonts w:ascii="Calibri" w:hAnsi="Calibri"/>
                <w:sz w:val="22"/>
                <w:szCs w:val="22"/>
              </w:rPr>
              <w:t>ualifications</w:t>
            </w:r>
            <w:r w:rsidRPr="00895381">
              <w:rPr>
                <w:rFonts w:ascii="Calibri" w:hAnsi="Calibri"/>
                <w:sz w:val="22"/>
                <w:szCs w:val="22"/>
              </w:rPr>
              <w:t xml:space="preserve"> </w:t>
            </w:r>
          </w:p>
        </w:tc>
        <w:tc>
          <w:tcPr>
            <w:tcW w:w="5812" w:type="dxa"/>
            <w:shd w:val="clear" w:color="auto" w:fill="auto"/>
          </w:tcPr>
          <w:p w:rsidR="003B4646" w:rsidRPr="00FC39EC" w:rsidRDefault="003B4646" w:rsidP="00CF18DC">
            <w:pPr>
              <w:pStyle w:val="Default"/>
              <w:rPr>
                <w:rFonts w:ascii="Calibri" w:hAnsi="Calibri"/>
                <w:sz w:val="22"/>
                <w:szCs w:val="22"/>
              </w:rPr>
            </w:pPr>
            <w:r w:rsidRPr="00895381">
              <w:rPr>
                <w:rFonts w:ascii="Calibri" w:hAnsi="Calibri"/>
                <w:sz w:val="22"/>
                <w:szCs w:val="22"/>
              </w:rPr>
              <w:t xml:space="preserve">Learners aged 19 and over who do not qualify for full-funding </w:t>
            </w:r>
          </w:p>
        </w:tc>
      </w:tr>
      <w:tr w:rsidR="003B4646" w:rsidRPr="00895381" w:rsidTr="00CF18DC">
        <w:tc>
          <w:tcPr>
            <w:tcW w:w="2977" w:type="dxa"/>
            <w:shd w:val="clear" w:color="auto" w:fill="auto"/>
          </w:tcPr>
          <w:p w:rsidR="003B4646" w:rsidRPr="00895381" w:rsidRDefault="003B4646" w:rsidP="00CF18DC">
            <w:pPr>
              <w:pStyle w:val="Default"/>
              <w:rPr>
                <w:rFonts w:ascii="Calibri" w:hAnsi="Calibri"/>
                <w:sz w:val="22"/>
                <w:szCs w:val="22"/>
              </w:rPr>
            </w:pPr>
            <w:r w:rsidRPr="00895381">
              <w:rPr>
                <w:rFonts w:ascii="Calibri" w:hAnsi="Calibri"/>
                <w:sz w:val="22"/>
                <w:szCs w:val="22"/>
              </w:rPr>
              <w:t>Level 3 or 4 qualifications</w:t>
            </w:r>
          </w:p>
          <w:p w:rsidR="003B4646" w:rsidRPr="00895381" w:rsidRDefault="003B4646" w:rsidP="00CF18DC">
            <w:pPr>
              <w:pStyle w:val="Default"/>
              <w:spacing w:after="80"/>
              <w:rPr>
                <w:rFonts w:ascii="Calibri" w:hAnsi="Calibri"/>
                <w:sz w:val="22"/>
                <w:szCs w:val="22"/>
              </w:rPr>
            </w:pPr>
          </w:p>
        </w:tc>
        <w:tc>
          <w:tcPr>
            <w:tcW w:w="5812" w:type="dxa"/>
            <w:shd w:val="clear" w:color="auto" w:fill="auto"/>
          </w:tcPr>
          <w:p w:rsidR="003B4646" w:rsidRPr="00895381" w:rsidRDefault="003B4646" w:rsidP="00CF18DC">
            <w:pPr>
              <w:pStyle w:val="Default"/>
              <w:rPr>
                <w:rFonts w:ascii="Calibri" w:hAnsi="Calibri"/>
                <w:sz w:val="22"/>
                <w:szCs w:val="22"/>
              </w:rPr>
            </w:pPr>
            <w:r w:rsidRPr="00895381">
              <w:rPr>
                <w:rFonts w:ascii="Calibri" w:hAnsi="Calibri"/>
                <w:sz w:val="22"/>
                <w:szCs w:val="22"/>
              </w:rPr>
              <w:t xml:space="preserve">Learners aged 19 to 23 who do not qualify for full-funding </w:t>
            </w:r>
          </w:p>
          <w:p w:rsidR="003B4646" w:rsidRPr="00895381" w:rsidRDefault="003B4646" w:rsidP="00CF18DC">
            <w:pPr>
              <w:rPr>
                <w:rFonts w:ascii="Calibri" w:hAnsi="Calibri"/>
              </w:rPr>
            </w:pPr>
            <w:r w:rsidRPr="00895381">
              <w:rPr>
                <w:rFonts w:ascii="Calibri" w:hAnsi="Calibri"/>
              </w:rPr>
              <w:t>Learners aged 24 and over have access to 24+ Advanced Learning Loans</w:t>
            </w:r>
            <w:r>
              <w:rPr>
                <w:rFonts w:ascii="Calibri" w:hAnsi="Calibri"/>
              </w:rPr>
              <w:t>, as do learners age 19-23 studying a second level 3 qualification</w:t>
            </w:r>
          </w:p>
        </w:tc>
      </w:tr>
    </w:tbl>
    <w:p w:rsidR="003B4646" w:rsidRPr="00912BC9" w:rsidRDefault="003B4646" w:rsidP="003B4646">
      <w:pPr>
        <w:pStyle w:val="ListParagraph"/>
        <w:rPr>
          <w:rFonts w:ascii="Calibri" w:hAnsi="Calibri"/>
        </w:rPr>
      </w:pPr>
    </w:p>
    <w:p w:rsidR="003B4646" w:rsidRPr="006C68EE" w:rsidRDefault="003B4646" w:rsidP="003B4646">
      <w:pPr>
        <w:numPr>
          <w:ilvl w:val="0"/>
          <w:numId w:val="7"/>
        </w:numPr>
        <w:spacing w:after="0" w:line="240" w:lineRule="auto"/>
        <w:ind w:hanging="720"/>
        <w:jc w:val="both"/>
        <w:rPr>
          <w:rFonts w:ascii="Calibri" w:hAnsi="Calibri"/>
        </w:rPr>
      </w:pPr>
      <w:r w:rsidRPr="006C68EE">
        <w:rPr>
          <w:rFonts w:ascii="Calibri" w:hAnsi="Calibri"/>
        </w:rPr>
        <w:t>In addition, the College has developed and set its own fee remission categories which include:</w:t>
      </w:r>
    </w:p>
    <w:p w:rsidR="003B4646" w:rsidRPr="00912BC9" w:rsidRDefault="003B4646" w:rsidP="003B4646">
      <w:pPr>
        <w:pStyle w:val="ListParagraph"/>
        <w:jc w:val="both"/>
        <w:rPr>
          <w:rFonts w:ascii="Calibri" w:hAnsi="Calibri"/>
        </w:rPr>
      </w:pPr>
    </w:p>
    <w:p w:rsidR="003B4646" w:rsidRPr="00912BC9" w:rsidRDefault="003B4646" w:rsidP="003B4646">
      <w:pPr>
        <w:numPr>
          <w:ilvl w:val="1"/>
          <w:numId w:val="7"/>
        </w:numPr>
        <w:tabs>
          <w:tab w:val="clear" w:pos="1440"/>
          <w:tab w:val="num" w:pos="1134"/>
        </w:tabs>
        <w:spacing w:after="0" w:line="240" w:lineRule="auto"/>
        <w:ind w:left="1134" w:hanging="425"/>
        <w:jc w:val="both"/>
        <w:rPr>
          <w:rFonts w:ascii="Calibri" w:hAnsi="Calibri"/>
        </w:rPr>
      </w:pPr>
      <w:r w:rsidRPr="00912BC9">
        <w:rPr>
          <w:rFonts w:ascii="Calibri" w:hAnsi="Calibri"/>
        </w:rPr>
        <w:t>Staff on College delivered courses: where the course is deemed essential to the employee`s personal development plan (PDP) the College will support the full cost of the programme.  Two additional levels of support at 50% and 25% will be made for non-essential qualifications and will be determined by the People Development Panel in line with College policy.</w:t>
      </w:r>
    </w:p>
    <w:p w:rsidR="003B4646" w:rsidRPr="00912BC9" w:rsidRDefault="003B4646" w:rsidP="003B4646">
      <w:pPr>
        <w:ind w:left="1134"/>
        <w:jc w:val="both"/>
        <w:rPr>
          <w:rFonts w:ascii="Calibri" w:hAnsi="Calibri"/>
        </w:rPr>
      </w:pPr>
    </w:p>
    <w:p w:rsidR="003B4646" w:rsidRDefault="003B4646" w:rsidP="003B4646">
      <w:pPr>
        <w:numPr>
          <w:ilvl w:val="1"/>
          <w:numId w:val="7"/>
        </w:numPr>
        <w:tabs>
          <w:tab w:val="clear" w:pos="1440"/>
          <w:tab w:val="num" w:pos="1134"/>
        </w:tabs>
        <w:spacing w:after="0" w:line="240" w:lineRule="auto"/>
        <w:ind w:left="1134" w:hanging="425"/>
        <w:jc w:val="both"/>
        <w:rPr>
          <w:rFonts w:ascii="Calibri" w:hAnsi="Calibri"/>
        </w:rPr>
      </w:pPr>
      <w:r w:rsidRPr="00843938">
        <w:rPr>
          <w:rFonts w:ascii="Calibri" w:hAnsi="Calibri"/>
        </w:rPr>
        <w:t xml:space="preserve">Adult full time learners will pay a fee of </w:t>
      </w:r>
      <w:r w:rsidRPr="00C03DC8">
        <w:rPr>
          <w:rFonts w:ascii="Calibri" w:hAnsi="Calibri"/>
        </w:rPr>
        <w:t>£</w:t>
      </w:r>
      <w:r>
        <w:rPr>
          <w:rFonts w:ascii="Calibri" w:hAnsi="Calibri"/>
        </w:rPr>
        <w:t>500</w:t>
      </w:r>
      <w:r w:rsidRPr="00843938">
        <w:rPr>
          <w:rFonts w:ascii="Calibri" w:hAnsi="Calibri"/>
        </w:rPr>
        <w:t xml:space="preserve"> </w:t>
      </w:r>
      <w:r>
        <w:rPr>
          <w:rFonts w:ascii="Calibri" w:hAnsi="Calibri"/>
        </w:rPr>
        <w:t>(2020/21: £500)</w:t>
      </w:r>
      <w:r w:rsidRPr="00843938">
        <w:rPr>
          <w:rFonts w:ascii="Calibri" w:hAnsi="Calibri"/>
        </w:rPr>
        <w:t xml:space="preserve"> when neither the learners nor learning programmes are included within national fee remission categories for courses of study not covered by the Advanced Learning Loan Facility.  A full time Adult learner programme must be</w:t>
      </w:r>
      <w:r>
        <w:rPr>
          <w:rFonts w:ascii="Calibri" w:hAnsi="Calibri"/>
        </w:rPr>
        <w:t xml:space="preserve"> </w:t>
      </w:r>
      <w:r w:rsidRPr="00843938">
        <w:rPr>
          <w:rFonts w:ascii="Calibri" w:hAnsi="Calibri"/>
        </w:rPr>
        <w:t xml:space="preserve">greater than or equal to </w:t>
      </w:r>
      <w:r>
        <w:rPr>
          <w:rFonts w:ascii="Calibri" w:hAnsi="Calibri"/>
        </w:rPr>
        <w:t>360</w:t>
      </w:r>
      <w:r w:rsidRPr="00843938">
        <w:rPr>
          <w:rFonts w:ascii="Calibri" w:hAnsi="Calibri"/>
        </w:rPr>
        <w:t xml:space="preserve"> guided learning hours to qualify for this remission.  Examination, registration and materials costs are included in this amount.</w:t>
      </w:r>
    </w:p>
    <w:p w:rsidR="003B4646" w:rsidRPr="00843938" w:rsidRDefault="003B4646" w:rsidP="003B4646">
      <w:pPr>
        <w:ind w:left="1134"/>
        <w:jc w:val="both"/>
        <w:rPr>
          <w:rFonts w:ascii="Calibri" w:hAnsi="Calibri"/>
        </w:rPr>
      </w:pPr>
    </w:p>
    <w:p w:rsidR="003B4646" w:rsidRDefault="003B4646" w:rsidP="003B4646">
      <w:pPr>
        <w:jc w:val="both"/>
        <w:rPr>
          <w:rFonts w:ascii="Calibri" w:hAnsi="Calibri" w:cs="Arial"/>
          <w:b/>
          <w:bCs/>
        </w:rPr>
      </w:pPr>
      <w:r>
        <w:rPr>
          <w:rFonts w:ascii="Calibri" w:hAnsi="Calibri" w:cs="Arial"/>
          <w:b/>
          <w:bCs/>
        </w:rPr>
        <w:t xml:space="preserve">Fee </w:t>
      </w:r>
      <w:r w:rsidRPr="00912BC9">
        <w:rPr>
          <w:rFonts w:ascii="Calibri" w:hAnsi="Calibri" w:cs="Arial"/>
          <w:b/>
          <w:bCs/>
        </w:rPr>
        <w:t>Policy</w:t>
      </w:r>
      <w:r>
        <w:rPr>
          <w:rFonts w:ascii="Calibri" w:hAnsi="Calibri" w:cs="Arial"/>
          <w:b/>
          <w:bCs/>
        </w:rPr>
        <w:t xml:space="preserve"> for 2021/22</w:t>
      </w:r>
      <w:r w:rsidRPr="00912BC9">
        <w:rPr>
          <w:rFonts w:ascii="Calibri" w:hAnsi="Calibri" w:cs="Arial"/>
          <w:b/>
          <w:bCs/>
        </w:rPr>
        <w:t xml:space="preserve"> </w:t>
      </w:r>
      <w:r>
        <w:rPr>
          <w:rFonts w:ascii="Calibri" w:hAnsi="Calibri" w:cs="Arial"/>
          <w:b/>
          <w:bCs/>
        </w:rPr>
        <w:t>– Higher Education</w:t>
      </w:r>
    </w:p>
    <w:p w:rsidR="003B4646" w:rsidRDefault="003B4646" w:rsidP="003B4646">
      <w:pPr>
        <w:jc w:val="both"/>
        <w:rPr>
          <w:rFonts w:ascii="Calibri" w:hAnsi="Calibri" w:cs="Arial"/>
          <w:b/>
          <w:bCs/>
        </w:rPr>
      </w:pPr>
    </w:p>
    <w:p w:rsidR="003B4646" w:rsidRDefault="003B4646" w:rsidP="003B4646">
      <w:pPr>
        <w:numPr>
          <w:ilvl w:val="0"/>
          <w:numId w:val="7"/>
        </w:numPr>
        <w:spacing w:after="0" w:line="240" w:lineRule="auto"/>
        <w:ind w:hanging="720"/>
        <w:jc w:val="both"/>
        <w:rPr>
          <w:rFonts w:ascii="Calibri" w:hAnsi="Calibri"/>
        </w:rPr>
      </w:pPr>
      <w:r w:rsidRPr="00C70CC1">
        <w:rPr>
          <w:rFonts w:ascii="Calibri" w:hAnsi="Calibri"/>
        </w:rPr>
        <w:t xml:space="preserve">HE students are at all times responsible for paying their fees.  In some circumstances student fees are paid by either a sponsor or Student Finance England (SFE) using the student or adult loan system.  </w:t>
      </w:r>
    </w:p>
    <w:p w:rsidR="003B4646" w:rsidRPr="00C70CC1" w:rsidRDefault="003B4646" w:rsidP="003B4646">
      <w:pPr>
        <w:ind w:left="720"/>
        <w:jc w:val="both"/>
        <w:rPr>
          <w:rFonts w:ascii="Calibri" w:hAnsi="Calibri"/>
        </w:rPr>
      </w:pPr>
    </w:p>
    <w:p w:rsidR="003B4646" w:rsidRPr="00B16851" w:rsidRDefault="003B4646" w:rsidP="003B4646">
      <w:pPr>
        <w:ind w:left="720"/>
        <w:jc w:val="both"/>
        <w:rPr>
          <w:rFonts w:ascii="Calibri" w:hAnsi="Calibri"/>
        </w:rPr>
      </w:pPr>
    </w:p>
    <w:p w:rsidR="003B4646" w:rsidRPr="00912BC9" w:rsidRDefault="003B4646" w:rsidP="003B4646">
      <w:pPr>
        <w:numPr>
          <w:ilvl w:val="0"/>
          <w:numId w:val="7"/>
        </w:numPr>
        <w:spacing w:after="0" w:line="240" w:lineRule="auto"/>
        <w:ind w:hanging="720"/>
        <w:jc w:val="both"/>
        <w:rPr>
          <w:rFonts w:ascii="Calibri" w:hAnsi="Calibri"/>
        </w:rPr>
      </w:pPr>
      <w:r>
        <w:rPr>
          <w:rFonts w:ascii="Calibri" w:hAnsi="Calibri"/>
        </w:rPr>
        <w:t>Fee levels for 2021/22 will be unchanged</w:t>
      </w:r>
      <w:r w:rsidRPr="00912BC9">
        <w:rPr>
          <w:rFonts w:ascii="Calibri" w:hAnsi="Calibri"/>
        </w:rPr>
        <w:t>:</w:t>
      </w:r>
    </w:p>
    <w:p w:rsidR="003B4646" w:rsidRPr="00912BC9" w:rsidRDefault="003B4646" w:rsidP="003B4646">
      <w:pPr>
        <w:pStyle w:val="ListParagraph"/>
        <w:jc w:val="both"/>
        <w:rPr>
          <w:rFonts w:ascii="Calibri" w:hAnsi="Calibri"/>
        </w:rPr>
      </w:pPr>
    </w:p>
    <w:p w:rsidR="003B4646" w:rsidRPr="00981271" w:rsidRDefault="003B4646" w:rsidP="003B4646">
      <w:pPr>
        <w:numPr>
          <w:ilvl w:val="1"/>
          <w:numId w:val="7"/>
        </w:numPr>
        <w:tabs>
          <w:tab w:val="clear" w:pos="1440"/>
          <w:tab w:val="num" w:pos="1134"/>
        </w:tabs>
        <w:spacing w:after="0" w:line="240" w:lineRule="auto"/>
        <w:ind w:left="1134" w:hanging="425"/>
        <w:jc w:val="both"/>
        <w:rPr>
          <w:rFonts w:ascii="Calibri" w:hAnsi="Calibri"/>
        </w:rPr>
      </w:pPr>
      <w:r w:rsidRPr="00E736AA">
        <w:rPr>
          <w:rFonts w:ascii="Calibri" w:hAnsi="Calibri"/>
        </w:rPr>
        <w:t>£</w:t>
      </w:r>
      <w:r>
        <w:rPr>
          <w:rFonts w:ascii="Calibri" w:hAnsi="Calibri"/>
        </w:rPr>
        <w:t>6,165</w:t>
      </w:r>
      <w:r w:rsidRPr="00E736AA">
        <w:rPr>
          <w:rFonts w:ascii="Calibri" w:hAnsi="Calibri"/>
        </w:rPr>
        <w:t xml:space="preserve"> for full ti</w:t>
      </w:r>
      <w:r w:rsidRPr="00981271">
        <w:rPr>
          <w:rFonts w:ascii="Calibri" w:hAnsi="Calibri"/>
        </w:rPr>
        <w:t>me learners</w:t>
      </w:r>
    </w:p>
    <w:p w:rsidR="003B4646" w:rsidRPr="00C127A1" w:rsidRDefault="003B4646" w:rsidP="003B4646">
      <w:pPr>
        <w:numPr>
          <w:ilvl w:val="1"/>
          <w:numId w:val="7"/>
        </w:numPr>
        <w:tabs>
          <w:tab w:val="clear" w:pos="1440"/>
          <w:tab w:val="num" w:pos="1134"/>
        </w:tabs>
        <w:spacing w:after="0" w:line="240" w:lineRule="auto"/>
        <w:ind w:left="1134" w:hanging="425"/>
        <w:jc w:val="both"/>
        <w:rPr>
          <w:rFonts w:ascii="Calibri" w:hAnsi="Calibri"/>
        </w:rPr>
      </w:pPr>
      <w:r w:rsidRPr="00C127A1">
        <w:rPr>
          <w:rFonts w:ascii="Calibri" w:hAnsi="Calibri"/>
        </w:rPr>
        <w:t xml:space="preserve">£3,610 for part time learners </w:t>
      </w:r>
    </w:p>
    <w:p w:rsidR="003B4646" w:rsidRPr="00C127A1" w:rsidRDefault="003B4646" w:rsidP="003B4646">
      <w:pPr>
        <w:numPr>
          <w:ilvl w:val="1"/>
          <w:numId w:val="7"/>
        </w:numPr>
        <w:tabs>
          <w:tab w:val="clear" w:pos="1440"/>
          <w:tab w:val="num" w:pos="1134"/>
        </w:tabs>
        <w:spacing w:after="0" w:line="240" w:lineRule="auto"/>
        <w:ind w:left="1134" w:hanging="425"/>
        <w:jc w:val="both"/>
        <w:rPr>
          <w:rFonts w:ascii="Calibri" w:hAnsi="Calibri"/>
        </w:rPr>
      </w:pPr>
      <w:r w:rsidRPr="00C127A1">
        <w:rPr>
          <w:rFonts w:ascii="Calibri" w:hAnsi="Calibri"/>
        </w:rPr>
        <w:t xml:space="preserve">£1,200 per 20-credit module (pro rata for modules of differing credit value) </w:t>
      </w:r>
    </w:p>
    <w:p w:rsidR="003B4646" w:rsidRPr="004D6262" w:rsidRDefault="003B4646" w:rsidP="003B4646">
      <w:pPr>
        <w:numPr>
          <w:ilvl w:val="1"/>
          <w:numId w:val="7"/>
        </w:numPr>
        <w:tabs>
          <w:tab w:val="clear" w:pos="1440"/>
          <w:tab w:val="num" w:pos="1134"/>
        </w:tabs>
        <w:spacing w:after="0" w:line="240" w:lineRule="auto"/>
        <w:ind w:left="1134" w:hanging="425"/>
        <w:jc w:val="both"/>
        <w:rPr>
          <w:rFonts w:ascii="Calibri" w:hAnsi="Calibri"/>
        </w:rPr>
      </w:pPr>
      <w:r w:rsidRPr="00C127A1">
        <w:rPr>
          <w:rFonts w:ascii="Calibri" w:hAnsi="Calibri"/>
        </w:rPr>
        <w:t>£</w:t>
      </w:r>
      <w:r w:rsidRPr="005D4B8E">
        <w:rPr>
          <w:rFonts w:ascii="Calibri" w:hAnsi="Calibri"/>
        </w:rPr>
        <w:t>800</w:t>
      </w:r>
      <w:r w:rsidRPr="004D6262">
        <w:rPr>
          <w:rFonts w:ascii="Calibri" w:hAnsi="Calibri"/>
        </w:rPr>
        <w:t xml:space="preserve"> per module resit (pro rata as above)</w:t>
      </w:r>
    </w:p>
    <w:p w:rsidR="003B4646" w:rsidRDefault="003B4646" w:rsidP="003B4646">
      <w:pPr>
        <w:ind w:left="1440"/>
        <w:jc w:val="both"/>
        <w:rPr>
          <w:rFonts w:ascii="Calibri" w:hAnsi="Calibri"/>
        </w:rPr>
      </w:pPr>
    </w:p>
    <w:p w:rsidR="003B4646" w:rsidRDefault="003B4646" w:rsidP="003B4646">
      <w:pPr>
        <w:ind w:left="720"/>
        <w:jc w:val="both"/>
        <w:rPr>
          <w:rFonts w:ascii="Calibri" w:hAnsi="Calibri"/>
        </w:rPr>
      </w:pPr>
      <w:r>
        <w:rPr>
          <w:rFonts w:ascii="Calibri" w:hAnsi="Calibri"/>
        </w:rPr>
        <w:t xml:space="preserve">The fees stated above are annual tuition fees for Home/Eligible </w:t>
      </w:r>
      <w:r w:rsidRPr="0022225B">
        <w:rPr>
          <w:rFonts w:ascii="Calibri" w:hAnsi="Calibri"/>
        </w:rPr>
        <w:t>EU</w:t>
      </w:r>
      <w:r>
        <w:rPr>
          <w:rFonts w:ascii="Calibri" w:hAnsi="Calibri"/>
        </w:rPr>
        <w:t xml:space="preserve"> students (see point 6). International students will be charged fees at the same level as Home/</w:t>
      </w:r>
      <w:r w:rsidRPr="0022225B">
        <w:rPr>
          <w:rFonts w:ascii="Calibri" w:hAnsi="Calibri"/>
        </w:rPr>
        <w:t>Eligible EU students (see point 6).</w:t>
      </w:r>
      <w:r>
        <w:rPr>
          <w:rFonts w:ascii="Calibri" w:hAnsi="Calibri"/>
        </w:rPr>
        <w:t xml:space="preserve"> All international learners will need the right to remain in the UK throughout their course. The college cannot act as a sponsor for international learners from 1/8/2020.</w:t>
      </w:r>
    </w:p>
    <w:p w:rsidR="003B4646" w:rsidRDefault="003B4646" w:rsidP="003B4646">
      <w:pPr>
        <w:jc w:val="both"/>
        <w:rPr>
          <w:rFonts w:ascii="Calibri" w:hAnsi="Calibri"/>
        </w:rPr>
      </w:pPr>
    </w:p>
    <w:p w:rsidR="003B4646" w:rsidRDefault="003B4646" w:rsidP="003B4646">
      <w:pPr>
        <w:numPr>
          <w:ilvl w:val="0"/>
          <w:numId w:val="7"/>
        </w:numPr>
        <w:spacing w:after="0" w:line="240" w:lineRule="auto"/>
        <w:ind w:hanging="720"/>
        <w:rPr>
          <w:rFonts w:ascii="Calibri" w:hAnsi="Calibri"/>
        </w:rPr>
      </w:pPr>
      <w:r>
        <w:rPr>
          <w:rFonts w:ascii="Calibri" w:hAnsi="Calibri"/>
        </w:rPr>
        <w:t xml:space="preserve">For students </w:t>
      </w:r>
      <w:r w:rsidRPr="00FD159A">
        <w:rPr>
          <w:rFonts w:ascii="Calibri" w:hAnsi="Calibri"/>
        </w:rPr>
        <w:t>supported b</w:t>
      </w:r>
      <w:r>
        <w:rPr>
          <w:rFonts w:ascii="Calibri" w:hAnsi="Calibri"/>
        </w:rPr>
        <w:t>y an employer sponsor, evidence of financial support for the annual tuition fees is required at the start of every academic year of study.  Students may not be allowed to continue their course if evidence of employer support for their tuition fees is not provided at the start of each academic year.</w:t>
      </w:r>
      <w:r>
        <w:rPr>
          <w:rFonts w:ascii="Calibri" w:hAnsi="Calibri"/>
        </w:rPr>
        <w:br/>
        <w:t xml:space="preserve"> </w:t>
      </w:r>
    </w:p>
    <w:p w:rsidR="003B4646" w:rsidRDefault="003B4646" w:rsidP="003B4646">
      <w:pPr>
        <w:ind w:firstLine="720"/>
        <w:jc w:val="both"/>
        <w:rPr>
          <w:rFonts w:ascii="Calibri" w:hAnsi="Calibri"/>
          <w:u w:val="single"/>
        </w:rPr>
      </w:pPr>
      <w:r w:rsidRPr="00CD1D0C">
        <w:rPr>
          <w:rFonts w:ascii="Calibri" w:hAnsi="Calibri"/>
          <w:u w:val="single"/>
        </w:rPr>
        <w:t>Arrangements for student withdrawals</w:t>
      </w:r>
    </w:p>
    <w:p w:rsidR="003B4646" w:rsidRPr="00A01AEE" w:rsidRDefault="003B4646" w:rsidP="003B4646">
      <w:pPr>
        <w:jc w:val="both"/>
        <w:rPr>
          <w:rFonts w:ascii="Calibri" w:hAnsi="Calibri"/>
        </w:rPr>
      </w:pPr>
    </w:p>
    <w:p w:rsidR="003B4646" w:rsidRDefault="003B4646" w:rsidP="003B4646">
      <w:pPr>
        <w:numPr>
          <w:ilvl w:val="0"/>
          <w:numId w:val="7"/>
        </w:numPr>
        <w:spacing w:after="0" w:line="240" w:lineRule="auto"/>
        <w:ind w:hanging="720"/>
        <w:jc w:val="both"/>
        <w:rPr>
          <w:rFonts w:ascii="Calibri" w:hAnsi="Calibri"/>
        </w:rPr>
      </w:pPr>
      <w:r>
        <w:rPr>
          <w:rFonts w:ascii="Calibri" w:hAnsi="Calibri"/>
        </w:rPr>
        <w:t>The following fees are payable if a student is paying their own fees, or they are being paid by a sponsor:</w:t>
      </w:r>
    </w:p>
    <w:p w:rsidR="003B4646" w:rsidRDefault="003B4646" w:rsidP="003B4646">
      <w:pPr>
        <w:ind w:left="720"/>
        <w:jc w:val="both"/>
        <w:rPr>
          <w:rFonts w:ascii="Calibri" w:hAnsi="Calibri"/>
        </w:rPr>
      </w:pPr>
    </w:p>
    <w:tbl>
      <w:tblPr>
        <w:tblW w:w="4520" w:type="dxa"/>
        <w:tblInd w:w="943" w:type="dxa"/>
        <w:tblLook w:val="04A0" w:firstRow="1" w:lastRow="0" w:firstColumn="1" w:lastColumn="0" w:noHBand="0" w:noVBand="1"/>
      </w:tblPr>
      <w:tblGrid>
        <w:gridCol w:w="2360"/>
        <w:gridCol w:w="2160"/>
      </w:tblGrid>
      <w:tr w:rsidR="003B4646" w:rsidRPr="006E63AD" w:rsidTr="00CF18DC">
        <w:trPr>
          <w:trHeight w:val="300"/>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4646" w:rsidRPr="006E63AD" w:rsidRDefault="003B4646" w:rsidP="00CF18DC">
            <w:pPr>
              <w:rPr>
                <w:rFonts w:ascii="Calibri" w:hAnsi="Calibri"/>
                <w:b/>
                <w:bCs/>
                <w:color w:val="000000"/>
                <w:lang w:eastAsia="en-GB"/>
              </w:rPr>
            </w:pPr>
            <w:r w:rsidRPr="006E63AD">
              <w:rPr>
                <w:rFonts w:ascii="Calibri" w:hAnsi="Calibri"/>
                <w:b/>
                <w:bCs/>
                <w:color w:val="000000"/>
                <w:lang w:eastAsia="en-GB"/>
              </w:rPr>
              <w:t>Date of Withdrawal</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3B4646" w:rsidRPr="006E63AD" w:rsidRDefault="003B4646" w:rsidP="00CF18DC">
            <w:pPr>
              <w:rPr>
                <w:rFonts w:ascii="Calibri" w:hAnsi="Calibri"/>
                <w:b/>
                <w:bCs/>
                <w:color w:val="000000"/>
                <w:lang w:eastAsia="en-GB"/>
              </w:rPr>
            </w:pPr>
            <w:r w:rsidRPr="006E63AD">
              <w:rPr>
                <w:rFonts w:ascii="Calibri" w:hAnsi="Calibri"/>
                <w:b/>
                <w:bCs/>
                <w:color w:val="000000"/>
                <w:lang w:eastAsia="en-GB"/>
              </w:rPr>
              <w:t>Fees payable</w:t>
            </w:r>
          </w:p>
        </w:tc>
      </w:tr>
      <w:tr w:rsidR="003B4646" w:rsidRPr="006E63AD" w:rsidTr="00CF18DC">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3B4646" w:rsidRPr="006E63AD" w:rsidRDefault="003B4646" w:rsidP="00CF18DC">
            <w:pPr>
              <w:rPr>
                <w:rFonts w:ascii="Calibri" w:hAnsi="Calibri"/>
                <w:color w:val="000000"/>
                <w:lang w:eastAsia="en-GB"/>
              </w:rPr>
            </w:pPr>
            <w:r w:rsidRPr="006E63AD">
              <w:rPr>
                <w:rFonts w:ascii="Calibri" w:hAnsi="Calibri"/>
                <w:color w:val="000000"/>
                <w:lang w:eastAsia="en-GB"/>
              </w:rPr>
              <w:t>pre 30 September</w:t>
            </w:r>
          </w:p>
        </w:tc>
        <w:tc>
          <w:tcPr>
            <w:tcW w:w="2160" w:type="dxa"/>
            <w:tcBorders>
              <w:top w:val="nil"/>
              <w:left w:val="nil"/>
              <w:bottom w:val="single" w:sz="4" w:space="0" w:color="auto"/>
              <w:right w:val="single" w:sz="4" w:space="0" w:color="auto"/>
            </w:tcBorders>
            <w:shd w:val="clear" w:color="auto" w:fill="auto"/>
            <w:noWrap/>
            <w:vAlign w:val="bottom"/>
            <w:hideMark/>
          </w:tcPr>
          <w:p w:rsidR="003B4646" w:rsidRPr="006E63AD" w:rsidRDefault="003B4646" w:rsidP="00CF18DC">
            <w:pPr>
              <w:rPr>
                <w:rFonts w:ascii="Calibri" w:hAnsi="Calibri"/>
                <w:color w:val="000000"/>
                <w:lang w:eastAsia="en-GB"/>
              </w:rPr>
            </w:pPr>
            <w:r w:rsidRPr="006E63AD">
              <w:rPr>
                <w:rFonts w:ascii="Calibri" w:hAnsi="Calibri"/>
                <w:color w:val="000000"/>
                <w:lang w:eastAsia="en-GB"/>
              </w:rPr>
              <w:t>£25 Admin fee</w:t>
            </w:r>
          </w:p>
        </w:tc>
      </w:tr>
      <w:tr w:rsidR="003B4646" w:rsidRPr="006E63AD" w:rsidTr="00CF18DC">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3B4646" w:rsidRPr="006E63AD" w:rsidRDefault="003B4646" w:rsidP="00CF18DC">
            <w:pPr>
              <w:rPr>
                <w:rFonts w:ascii="Calibri" w:hAnsi="Calibri"/>
                <w:color w:val="000000"/>
                <w:lang w:eastAsia="en-GB"/>
              </w:rPr>
            </w:pPr>
            <w:r w:rsidRPr="006E63AD">
              <w:rPr>
                <w:rFonts w:ascii="Calibri" w:hAnsi="Calibri"/>
                <w:color w:val="000000"/>
                <w:lang w:eastAsia="en-GB"/>
              </w:rPr>
              <w:t>1 Oct-31 Oct</w:t>
            </w:r>
          </w:p>
        </w:tc>
        <w:tc>
          <w:tcPr>
            <w:tcW w:w="2160" w:type="dxa"/>
            <w:tcBorders>
              <w:top w:val="nil"/>
              <w:left w:val="nil"/>
              <w:bottom w:val="single" w:sz="4" w:space="0" w:color="auto"/>
              <w:right w:val="single" w:sz="4" w:space="0" w:color="auto"/>
            </w:tcBorders>
            <w:shd w:val="clear" w:color="auto" w:fill="auto"/>
            <w:noWrap/>
            <w:vAlign w:val="bottom"/>
            <w:hideMark/>
          </w:tcPr>
          <w:p w:rsidR="003B4646" w:rsidRPr="006E63AD" w:rsidRDefault="003B4646" w:rsidP="00CF18DC">
            <w:pPr>
              <w:rPr>
                <w:rFonts w:ascii="Calibri" w:hAnsi="Calibri"/>
                <w:color w:val="000000"/>
                <w:lang w:eastAsia="en-GB"/>
              </w:rPr>
            </w:pPr>
            <w:r w:rsidRPr="006E63AD">
              <w:rPr>
                <w:rFonts w:ascii="Calibri" w:hAnsi="Calibri"/>
                <w:color w:val="000000"/>
                <w:lang w:eastAsia="en-GB"/>
              </w:rPr>
              <w:t>25% of total fee</w:t>
            </w:r>
          </w:p>
        </w:tc>
      </w:tr>
      <w:tr w:rsidR="003B4646" w:rsidRPr="006E63AD" w:rsidTr="00CF18DC">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3B4646" w:rsidRPr="006E63AD" w:rsidRDefault="003B4646" w:rsidP="00CF18DC">
            <w:pPr>
              <w:rPr>
                <w:rFonts w:ascii="Calibri" w:hAnsi="Calibri"/>
                <w:color w:val="000000"/>
                <w:lang w:eastAsia="en-GB"/>
              </w:rPr>
            </w:pPr>
            <w:r w:rsidRPr="006E63AD">
              <w:rPr>
                <w:rFonts w:ascii="Calibri" w:hAnsi="Calibri"/>
                <w:color w:val="000000"/>
                <w:lang w:eastAsia="en-GB"/>
              </w:rPr>
              <w:t>1 Nov-29 Feb</w:t>
            </w:r>
          </w:p>
        </w:tc>
        <w:tc>
          <w:tcPr>
            <w:tcW w:w="2160" w:type="dxa"/>
            <w:tcBorders>
              <w:top w:val="nil"/>
              <w:left w:val="nil"/>
              <w:bottom w:val="single" w:sz="4" w:space="0" w:color="auto"/>
              <w:right w:val="single" w:sz="4" w:space="0" w:color="auto"/>
            </w:tcBorders>
            <w:shd w:val="clear" w:color="auto" w:fill="auto"/>
            <w:noWrap/>
            <w:vAlign w:val="bottom"/>
            <w:hideMark/>
          </w:tcPr>
          <w:p w:rsidR="003B4646" w:rsidRPr="006E63AD" w:rsidRDefault="003B4646" w:rsidP="00CF18DC">
            <w:pPr>
              <w:rPr>
                <w:rFonts w:ascii="Calibri" w:hAnsi="Calibri"/>
                <w:color w:val="000000"/>
                <w:lang w:eastAsia="en-GB"/>
              </w:rPr>
            </w:pPr>
            <w:r w:rsidRPr="006E63AD">
              <w:rPr>
                <w:rFonts w:ascii="Calibri" w:hAnsi="Calibri"/>
                <w:color w:val="000000"/>
                <w:lang w:eastAsia="en-GB"/>
              </w:rPr>
              <w:t>50% of total fee</w:t>
            </w:r>
          </w:p>
        </w:tc>
      </w:tr>
      <w:tr w:rsidR="003B4646" w:rsidRPr="006E63AD" w:rsidTr="00CF18DC">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3B4646" w:rsidRPr="006E63AD" w:rsidRDefault="003B4646" w:rsidP="00CF18DC">
            <w:pPr>
              <w:rPr>
                <w:rFonts w:ascii="Calibri" w:hAnsi="Calibri"/>
                <w:color w:val="000000"/>
                <w:lang w:eastAsia="en-GB"/>
              </w:rPr>
            </w:pPr>
            <w:r w:rsidRPr="006E63AD">
              <w:rPr>
                <w:rFonts w:ascii="Calibri" w:hAnsi="Calibri"/>
                <w:color w:val="000000"/>
                <w:lang w:eastAsia="en-GB"/>
              </w:rPr>
              <w:t>post 29 Feb</w:t>
            </w:r>
          </w:p>
        </w:tc>
        <w:tc>
          <w:tcPr>
            <w:tcW w:w="2160" w:type="dxa"/>
            <w:tcBorders>
              <w:top w:val="nil"/>
              <w:left w:val="nil"/>
              <w:bottom w:val="single" w:sz="4" w:space="0" w:color="auto"/>
              <w:right w:val="single" w:sz="4" w:space="0" w:color="auto"/>
            </w:tcBorders>
            <w:shd w:val="clear" w:color="auto" w:fill="auto"/>
            <w:noWrap/>
            <w:vAlign w:val="bottom"/>
            <w:hideMark/>
          </w:tcPr>
          <w:p w:rsidR="003B4646" w:rsidRPr="006E63AD" w:rsidRDefault="003B4646" w:rsidP="00CF18DC">
            <w:pPr>
              <w:rPr>
                <w:rFonts w:ascii="Calibri" w:hAnsi="Calibri"/>
                <w:color w:val="000000"/>
                <w:lang w:eastAsia="en-GB"/>
              </w:rPr>
            </w:pPr>
            <w:r w:rsidRPr="006E63AD">
              <w:rPr>
                <w:rFonts w:ascii="Calibri" w:hAnsi="Calibri"/>
                <w:color w:val="000000"/>
                <w:lang w:eastAsia="en-GB"/>
              </w:rPr>
              <w:t>Full fee</w:t>
            </w:r>
          </w:p>
        </w:tc>
      </w:tr>
    </w:tbl>
    <w:p w:rsidR="003B4646" w:rsidRDefault="003B4646" w:rsidP="003B4646">
      <w:pPr>
        <w:ind w:left="720"/>
        <w:jc w:val="both"/>
        <w:rPr>
          <w:rFonts w:ascii="Calibri" w:hAnsi="Calibri"/>
        </w:rPr>
      </w:pPr>
    </w:p>
    <w:p w:rsidR="003B4646" w:rsidRDefault="003B4646" w:rsidP="003B4646">
      <w:pPr>
        <w:numPr>
          <w:ilvl w:val="0"/>
          <w:numId w:val="7"/>
        </w:numPr>
        <w:spacing w:after="0" w:line="240" w:lineRule="auto"/>
        <w:ind w:hanging="720"/>
        <w:jc w:val="both"/>
        <w:rPr>
          <w:rFonts w:ascii="Calibri" w:hAnsi="Calibri"/>
        </w:rPr>
      </w:pPr>
      <w:r w:rsidRPr="00A01AEE">
        <w:rPr>
          <w:rFonts w:ascii="Calibri" w:hAnsi="Calibri"/>
        </w:rPr>
        <w:t>For students not funded through a sponsor or through the Student Loan Company</w:t>
      </w:r>
      <w:r>
        <w:rPr>
          <w:rFonts w:ascii="Calibri" w:hAnsi="Calibri"/>
        </w:rPr>
        <w:t xml:space="preserve"> (adult loans only)</w:t>
      </w:r>
      <w:r w:rsidRPr="00A01AEE">
        <w:rPr>
          <w:rFonts w:ascii="Calibri" w:hAnsi="Calibri"/>
        </w:rPr>
        <w:t xml:space="preserve">, an option to pay full time or part time fees in </w:t>
      </w:r>
      <w:r>
        <w:rPr>
          <w:rFonts w:ascii="Calibri" w:hAnsi="Calibri"/>
        </w:rPr>
        <w:t>monthly i</w:t>
      </w:r>
      <w:r w:rsidRPr="00A01AEE">
        <w:rPr>
          <w:rFonts w:ascii="Calibri" w:hAnsi="Calibri"/>
        </w:rPr>
        <w:t xml:space="preserve">nstalments will be available with equal payments due for collection </w:t>
      </w:r>
      <w:r>
        <w:rPr>
          <w:rFonts w:ascii="Calibri" w:hAnsi="Calibri"/>
        </w:rPr>
        <w:t xml:space="preserve">monthly based on the </w:t>
      </w:r>
      <w:r w:rsidRPr="0022225B">
        <w:rPr>
          <w:rFonts w:ascii="Calibri" w:hAnsi="Calibri"/>
        </w:rPr>
        <w:t>number of</w:t>
      </w:r>
      <w:r>
        <w:rPr>
          <w:rFonts w:ascii="Calibri" w:hAnsi="Calibri"/>
        </w:rPr>
        <w:t xml:space="preserve"> months of the programme.</w:t>
      </w:r>
    </w:p>
    <w:p w:rsidR="003B4646" w:rsidRPr="00A01AEE" w:rsidRDefault="003B4646" w:rsidP="003B4646">
      <w:pPr>
        <w:pStyle w:val="ListParagraph"/>
        <w:jc w:val="both"/>
        <w:rPr>
          <w:rFonts w:ascii="Calibri" w:hAnsi="Calibri"/>
        </w:rPr>
      </w:pPr>
    </w:p>
    <w:p w:rsidR="003B4646" w:rsidRPr="000E7D6A" w:rsidRDefault="003B4646" w:rsidP="003B4646">
      <w:pPr>
        <w:numPr>
          <w:ilvl w:val="0"/>
          <w:numId w:val="7"/>
        </w:numPr>
        <w:spacing w:after="0" w:line="240" w:lineRule="auto"/>
        <w:ind w:hanging="720"/>
        <w:jc w:val="both"/>
        <w:rPr>
          <w:rFonts w:ascii="Calibri" w:hAnsi="Calibri"/>
        </w:rPr>
      </w:pPr>
      <w:r w:rsidRPr="00A01AEE">
        <w:rPr>
          <w:rFonts w:ascii="Calibri" w:hAnsi="Calibri"/>
        </w:rPr>
        <w:t>Students funded through the student loan system via Student Finance England will not receive any refund of monies paid to the College by S</w:t>
      </w:r>
      <w:r w:rsidRPr="00FD159A">
        <w:rPr>
          <w:rFonts w:ascii="Calibri" w:hAnsi="Calibri"/>
        </w:rPr>
        <w:t>FE</w:t>
      </w:r>
      <w:r w:rsidRPr="00A01AEE">
        <w:rPr>
          <w:rFonts w:ascii="Calibri" w:hAnsi="Calibri"/>
        </w:rPr>
        <w:t xml:space="preserve"> and will not be liable for any unpaid </w:t>
      </w:r>
      <w:r w:rsidRPr="000E7D6A">
        <w:rPr>
          <w:rFonts w:ascii="Calibri" w:hAnsi="Calibri"/>
        </w:rPr>
        <w:t>fees</w:t>
      </w:r>
      <w:r>
        <w:rPr>
          <w:rFonts w:ascii="Calibri" w:hAnsi="Calibri"/>
        </w:rPr>
        <w:t>. However, if SFE recovers any amounts received by the College,  the College reserves the right to recover those fees from the student</w:t>
      </w:r>
    </w:p>
    <w:p w:rsidR="003B4646" w:rsidRDefault="003B4646" w:rsidP="003B4646">
      <w:pPr>
        <w:pStyle w:val="ListParagraph"/>
        <w:jc w:val="both"/>
        <w:rPr>
          <w:rFonts w:ascii="Calibri" w:hAnsi="Calibri"/>
        </w:rPr>
      </w:pPr>
    </w:p>
    <w:p w:rsidR="003B4646" w:rsidRPr="00FD159A" w:rsidRDefault="003B4646" w:rsidP="003B4646">
      <w:pPr>
        <w:numPr>
          <w:ilvl w:val="0"/>
          <w:numId w:val="7"/>
        </w:numPr>
        <w:spacing w:after="0" w:line="240" w:lineRule="auto"/>
        <w:ind w:hanging="720"/>
        <w:jc w:val="both"/>
        <w:rPr>
          <w:rFonts w:ascii="Calibri" w:hAnsi="Calibri" w:cs="Arial"/>
          <w:bCs/>
        </w:rPr>
      </w:pPr>
      <w:r>
        <w:rPr>
          <w:rFonts w:ascii="Calibri" w:hAnsi="Calibri" w:cs="Arial"/>
          <w:bCs/>
        </w:rPr>
        <w:t>Exceptions to the policy for the amount of fees liable by the student in the event of withdrawal will only be made on production of a medical certificate which evidences the inability of the student to complete their studies.</w:t>
      </w:r>
    </w:p>
    <w:p w:rsidR="003B4646" w:rsidRDefault="003B4646" w:rsidP="003B4646">
      <w:pPr>
        <w:jc w:val="both"/>
        <w:rPr>
          <w:rFonts w:ascii="Calibri" w:hAnsi="Calibri" w:cs="Arial"/>
          <w:b/>
          <w:bCs/>
        </w:rPr>
      </w:pPr>
    </w:p>
    <w:p w:rsidR="003B4646" w:rsidRDefault="003B4646" w:rsidP="003B4646">
      <w:pPr>
        <w:jc w:val="both"/>
        <w:rPr>
          <w:rFonts w:ascii="Calibri" w:hAnsi="Calibri" w:cs="Arial"/>
          <w:b/>
          <w:bCs/>
        </w:rPr>
      </w:pPr>
      <w:r>
        <w:rPr>
          <w:rFonts w:ascii="Calibri" w:hAnsi="Calibri" w:cs="Arial"/>
          <w:b/>
          <w:bCs/>
        </w:rPr>
        <w:t xml:space="preserve">Fee </w:t>
      </w:r>
      <w:r w:rsidRPr="00912BC9">
        <w:rPr>
          <w:rFonts w:ascii="Calibri" w:hAnsi="Calibri" w:cs="Arial"/>
          <w:b/>
          <w:bCs/>
        </w:rPr>
        <w:t>Policy</w:t>
      </w:r>
      <w:r>
        <w:rPr>
          <w:rFonts w:ascii="Calibri" w:hAnsi="Calibri" w:cs="Arial"/>
          <w:b/>
          <w:bCs/>
        </w:rPr>
        <w:t xml:space="preserve"> for 2021/22 – Further Education</w:t>
      </w:r>
      <w:r w:rsidRPr="00912BC9">
        <w:rPr>
          <w:rFonts w:ascii="Calibri" w:hAnsi="Calibri" w:cs="Arial"/>
          <w:b/>
          <w:bCs/>
        </w:rPr>
        <w:t xml:space="preserve"> </w:t>
      </w:r>
    </w:p>
    <w:p w:rsidR="003B4646" w:rsidRDefault="003B4646" w:rsidP="003B4646">
      <w:pPr>
        <w:jc w:val="both"/>
        <w:rPr>
          <w:rFonts w:ascii="Calibri" w:hAnsi="Calibri" w:cs="Arial"/>
          <w:bCs/>
          <w:u w:val="single"/>
        </w:rPr>
      </w:pPr>
    </w:p>
    <w:p w:rsidR="003B4646" w:rsidRPr="00287BBA" w:rsidRDefault="003B4646" w:rsidP="003B4646">
      <w:pPr>
        <w:numPr>
          <w:ilvl w:val="0"/>
          <w:numId w:val="7"/>
        </w:numPr>
        <w:spacing w:after="0" w:line="240" w:lineRule="auto"/>
        <w:ind w:hanging="720"/>
        <w:jc w:val="both"/>
        <w:rPr>
          <w:rFonts w:ascii="Calibri" w:hAnsi="Calibri" w:cs="Arial"/>
          <w:bCs/>
        </w:rPr>
      </w:pPr>
      <w:r w:rsidRPr="00644F90">
        <w:rPr>
          <w:rFonts w:ascii="Calibri" w:hAnsi="Calibri"/>
        </w:rPr>
        <w:t xml:space="preserve">Course fees for adult apprentice programmes </w:t>
      </w:r>
      <w:r>
        <w:rPr>
          <w:rFonts w:ascii="Calibri" w:hAnsi="Calibri"/>
        </w:rPr>
        <w:t>are now separately covered in the Tuition Fee Policy</w:t>
      </w:r>
      <w:r w:rsidRPr="00644F90">
        <w:rPr>
          <w:rFonts w:ascii="Calibri" w:hAnsi="Calibri"/>
        </w:rPr>
        <w:t xml:space="preserve">.  </w:t>
      </w:r>
    </w:p>
    <w:p w:rsidR="003B4646" w:rsidRDefault="003B4646" w:rsidP="003B4646">
      <w:pPr>
        <w:jc w:val="both"/>
        <w:rPr>
          <w:rFonts w:ascii="Calibri" w:hAnsi="Calibri"/>
        </w:rPr>
      </w:pPr>
    </w:p>
    <w:p w:rsidR="003B4646" w:rsidRPr="00912BC9" w:rsidRDefault="003B4646" w:rsidP="003B4646">
      <w:pPr>
        <w:numPr>
          <w:ilvl w:val="0"/>
          <w:numId w:val="7"/>
        </w:numPr>
        <w:spacing w:after="0" w:line="240" w:lineRule="auto"/>
        <w:ind w:hanging="720"/>
        <w:jc w:val="both"/>
        <w:rPr>
          <w:rFonts w:ascii="Calibri" w:hAnsi="Calibri"/>
          <w:iCs/>
        </w:rPr>
      </w:pPr>
      <w:r>
        <w:rPr>
          <w:rFonts w:ascii="Calibri" w:hAnsi="Calibri"/>
          <w:iCs/>
        </w:rPr>
        <w:t>In 21/22 the College is seeking to increase local demand so is not increasing fees</w:t>
      </w:r>
    </w:p>
    <w:p w:rsidR="003B4646" w:rsidRPr="00912BC9" w:rsidRDefault="003B4646" w:rsidP="003B4646">
      <w:pPr>
        <w:ind w:left="720"/>
        <w:jc w:val="both"/>
        <w:rPr>
          <w:rFonts w:ascii="Calibri" w:hAnsi="Calibri"/>
          <w:iCs/>
        </w:rPr>
      </w:pPr>
    </w:p>
    <w:p w:rsidR="003B4646" w:rsidRPr="00912BC9" w:rsidRDefault="003B4646" w:rsidP="003B4646">
      <w:pPr>
        <w:numPr>
          <w:ilvl w:val="0"/>
          <w:numId w:val="7"/>
        </w:numPr>
        <w:spacing w:after="0" w:line="240" w:lineRule="auto"/>
        <w:ind w:hanging="720"/>
        <w:jc w:val="both"/>
        <w:rPr>
          <w:rFonts w:ascii="Calibri" w:hAnsi="Calibri"/>
          <w:iCs/>
        </w:rPr>
      </w:pPr>
      <w:r w:rsidRPr="00912BC9">
        <w:rPr>
          <w:rFonts w:ascii="Calibri" w:hAnsi="Calibri"/>
          <w:iCs/>
        </w:rPr>
        <w:t xml:space="preserve">The College will continue to charge ‘Market Rate’ fees where these are likely to be greater than the assumed national fee. </w:t>
      </w:r>
    </w:p>
    <w:p w:rsidR="003B4646" w:rsidRPr="00912BC9" w:rsidRDefault="003B4646" w:rsidP="003B4646">
      <w:pPr>
        <w:ind w:left="720"/>
        <w:jc w:val="both"/>
        <w:rPr>
          <w:rFonts w:ascii="Calibri" w:hAnsi="Calibri"/>
          <w:iCs/>
        </w:rPr>
      </w:pPr>
      <w:r w:rsidRPr="00912BC9">
        <w:rPr>
          <w:rFonts w:ascii="Calibri" w:hAnsi="Calibri"/>
          <w:iCs/>
        </w:rPr>
        <w:t xml:space="preserve"> </w:t>
      </w:r>
    </w:p>
    <w:p w:rsidR="003B4646" w:rsidRPr="00912BC9" w:rsidRDefault="003B4646" w:rsidP="003B4646">
      <w:pPr>
        <w:numPr>
          <w:ilvl w:val="0"/>
          <w:numId w:val="7"/>
        </w:numPr>
        <w:spacing w:after="0" w:line="240" w:lineRule="auto"/>
        <w:ind w:hanging="720"/>
        <w:jc w:val="both"/>
        <w:rPr>
          <w:rFonts w:ascii="Calibri" w:hAnsi="Calibri"/>
          <w:iCs/>
        </w:rPr>
      </w:pPr>
      <w:r w:rsidRPr="00912BC9">
        <w:rPr>
          <w:rFonts w:ascii="Calibri" w:hAnsi="Calibri"/>
          <w:iCs/>
        </w:rPr>
        <w:t xml:space="preserve">Any departure from the fee policy in relation to the charging of fees below policy levels will need to be supported by market evidence and a full business case to ensure that appropriate information can support any decision process.  Departure from the Policy in this instance must be authorised by </w:t>
      </w:r>
      <w:r>
        <w:rPr>
          <w:rFonts w:ascii="Calibri" w:hAnsi="Calibri"/>
          <w:iCs/>
        </w:rPr>
        <w:t>Director of Finance</w:t>
      </w:r>
      <w:r w:rsidRPr="00912BC9">
        <w:rPr>
          <w:rFonts w:ascii="Calibri" w:hAnsi="Calibri"/>
          <w:iCs/>
        </w:rPr>
        <w:t>.</w:t>
      </w:r>
    </w:p>
    <w:p w:rsidR="003B4646" w:rsidRPr="00912BC9" w:rsidRDefault="003B4646" w:rsidP="003B4646">
      <w:pPr>
        <w:jc w:val="both"/>
        <w:rPr>
          <w:rFonts w:ascii="Calibri" w:hAnsi="Calibri"/>
        </w:rPr>
      </w:pPr>
    </w:p>
    <w:p w:rsidR="003B4646" w:rsidRPr="00CD1D0C" w:rsidRDefault="003B4646" w:rsidP="003B4646">
      <w:pPr>
        <w:numPr>
          <w:ilvl w:val="0"/>
          <w:numId w:val="7"/>
        </w:numPr>
        <w:spacing w:after="0" w:line="240" w:lineRule="auto"/>
        <w:ind w:hanging="720"/>
        <w:jc w:val="both"/>
        <w:rPr>
          <w:rFonts w:ascii="Calibri" w:hAnsi="Calibri" w:cs="Arial"/>
          <w:b/>
          <w:bCs/>
        </w:rPr>
      </w:pPr>
      <w:r w:rsidRPr="00912BC9">
        <w:rPr>
          <w:rFonts w:ascii="Calibri" w:hAnsi="Calibri"/>
        </w:rPr>
        <w:t xml:space="preserve">Full cost and commercially competitive course offerings will continue with a margin contribution model.  </w:t>
      </w:r>
      <w:r>
        <w:rPr>
          <w:rFonts w:ascii="Calibri" w:hAnsi="Calibri"/>
        </w:rPr>
        <w:t xml:space="preserve">The College will cost each programme individually to reflect group size, delivery location, material, staffing costs and the competitive landscape in each individual sector. Programmes will normally be priced on a full cost recovery basis, including a minimum margin of 20%. </w:t>
      </w:r>
      <w:r w:rsidRPr="00912BC9">
        <w:rPr>
          <w:rFonts w:ascii="Calibri" w:hAnsi="Calibri"/>
        </w:rPr>
        <w:t xml:space="preserve"> </w:t>
      </w:r>
      <w:r>
        <w:rPr>
          <w:rFonts w:ascii="Calibri" w:hAnsi="Calibri"/>
        </w:rPr>
        <w:t>All pricing decisions for full cost and commercial courses are subject to approval by the Director of Finance.</w:t>
      </w:r>
    </w:p>
    <w:p w:rsidR="003B4646" w:rsidRDefault="003B4646" w:rsidP="003B4646">
      <w:pPr>
        <w:pStyle w:val="ListParagraph"/>
        <w:jc w:val="both"/>
        <w:rPr>
          <w:rFonts w:ascii="Calibri" w:hAnsi="Calibri" w:cs="Arial"/>
          <w:b/>
          <w:bCs/>
        </w:rPr>
      </w:pPr>
    </w:p>
    <w:p w:rsidR="003B4646" w:rsidRPr="00CD1D0C" w:rsidRDefault="003B4646" w:rsidP="003B4646">
      <w:pPr>
        <w:ind w:left="720"/>
        <w:jc w:val="both"/>
        <w:rPr>
          <w:rFonts w:ascii="Calibri" w:hAnsi="Calibri" w:cs="Arial"/>
          <w:bCs/>
          <w:u w:val="single"/>
        </w:rPr>
      </w:pPr>
      <w:r w:rsidRPr="00CD1D0C">
        <w:rPr>
          <w:rFonts w:ascii="Calibri" w:hAnsi="Calibri" w:cs="Arial"/>
          <w:bCs/>
          <w:u w:val="single"/>
        </w:rPr>
        <w:t>Arrangements for student withdrawals</w:t>
      </w:r>
    </w:p>
    <w:p w:rsidR="003B4646" w:rsidRPr="00CD1D0C" w:rsidRDefault="003B4646" w:rsidP="003B4646">
      <w:pPr>
        <w:pStyle w:val="ListParagraph"/>
        <w:jc w:val="both"/>
        <w:rPr>
          <w:rFonts w:ascii="Calibri" w:hAnsi="Calibri" w:cs="Arial"/>
          <w:bCs/>
        </w:rPr>
      </w:pPr>
    </w:p>
    <w:p w:rsidR="003B4646" w:rsidRDefault="003B4646" w:rsidP="003B4646">
      <w:pPr>
        <w:numPr>
          <w:ilvl w:val="0"/>
          <w:numId w:val="7"/>
        </w:numPr>
        <w:spacing w:after="0" w:line="240" w:lineRule="auto"/>
        <w:ind w:hanging="720"/>
        <w:jc w:val="both"/>
        <w:rPr>
          <w:rFonts w:ascii="Calibri" w:hAnsi="Calibri" w:cs="Arial"/>
          <w:bCs/>
        </w:rPr>
      </w:pPr>
      <w:r w:rsidRPr="00CD1D0C">
        <w:rPr>
          <w:rFonts w:ascii="Calibri" w:hAnsi="Calibri" w:cs="Arial"/>
          <w:bCs/>
        </w:rPr>
        <w:t xml:space="preserve">For </w:t>
      </w:r>
      <w:r>
        <w:rPr>
          <w:rFonts w:ascii="Calibri" w:hAnsi="Calibri" w:cs="Arial"/>
          <w:bCs/>
        </w:rPr>
        <w:t>F</w:t>
      </w:r>
      <w:r w:rsidRPr="00CD1D0C">
        <w:rPr>
          <w:rFonts w:ascii="Calibri" w:hAnsi="Calibri" w:cs="Arial"/>
          <w:bCs/>
        </w:rPr>
        <w:t>urther Education students who withdraw from</w:t>
      </w:r>
      <w:r>
        <w:rPr>
          <w:rFonts w:ascii="Calibri" w:hAnsi="Calibri" w:cs="Arial"/>
          <w:bCs/>
        </w:rPr>
        <w:t xml:space="preserve"> full time</w:t>
      </w:r>
      <w:r w:rsidRPr="00CD1D0C">
        <w:rPr>
          <w:rFonts w:ascii="Calibri" w:hAnsi="Calibri" w:cs="Arial"/>
          <w:bCs/>
        </w:rPr>
        <w:t xml:space="preserve"> course</w:t>
      </w:r>
      <w:r>
        <w:rPr>
          <w:rFonts w:ascii="Calibri" w:hAnsi="Calibri" w:cs="Arial"/>
          <w:bCs/>
        </w:rPr>
        <w:t>s</w:t>
      </w:r>
      <w:r w:rsidRPr="00CD1D0C">
        <w:rPr>
          <w:rFonts w:ascii="Calibri" w:hAnsi="Calibri" w:cs="Arial"/>
          <w:bCs/>
        </w:rPr>
        <w:t xml:space="preserve"> the following arrangements for outstanding fees will apply:</w:t>
      </w:r>
    </w:p>
    <w:p w:rsidR="003B4646" w:rsidRDefault="003B4646" w:rsidP="003B4646">
      <w:pPr>
        <w:ind w:left="720"/>
        <w:jc w:val="both"/>
        <w:rPr>
          <w:rFonts w:ascii="Calibri" w:hAnsi="Calibri" w:cs="Arial"/>
          <w:bCs/>
        </w:rPr>
      </w:pPr>
    </w:p>
    <w:p w:rsidR="003B4646" w:rsidRDefault="003B4646" w:rsidP="003B4646">
      <w:pPr>
        <w:numPr>
          <w:ilvl w:val="1"/>
          <w:numId w:val="7"/>
        </w:numPr>
        <w:tabs>
          <w:tab w:val="clear" w:pos="1440"/>
          <w:tab w:val="num" w:pos="1134"/>
        </w:tabs>
        <w:spacing w:after="0" w:line="240" w:lineRule="auto"/>
        <w:ind w:left="1134" w:hanging="425"/>
        <w:jc w:val="both"/>
        <w:rPr>
          <w:rFonts w:ascii="Calibri" w:hAnsi="Calibri" w:cs="Arial"/>
          <w:bCs/>
        </w:rPr>
      </w:pPr>
      <w:r>
        <w:rPr>
          <w:rFonts w:ascii="Calibri" w:hAnsi="Calibri" w:cs="Arial"/>
          <w:bCs/>
        </w:rPr>
        <w:t>If the withdrawal occurs on or before 30 September in the Academic year of study an administrative fee of £25 will be payable.</w:t>
      </w:r>
    </w:p>
    <w:p w:rsidR="003B4646" w:rsidRDefault="003B4646" w:rsidP="003B4646">
      <w:pPr>
        <w:numPr>
          <w:ilvl w:val="1"/>
          <w:numId w:val="7"/>
        </w:numPr>
        <w:tabs>
          <w:tab w:val="clear" w:pos="1440"/>
          <w:tab w:val="num" w:pos="1134"/>
        </w:tabs>
        <w:spacing w:after="0" w:line="240" w:lineRule="auto"/>
        <w:ind w:left="1134" w:hanging="425"/>
        <w:jc w:val="both"/>
        <w:rPr>
          <w:rFonts w:ascii="Calibri" w:hAnsi="Calibri" w:cs="Arial"/>
          <w:bCs/>
        </w:rPr>
      </w:pPr>
      <w:r>
        <w:rPr>
          <w:rFonts w:ascii="Calibri" w:hAnsi="Calibri" w:cs="Arial"/>
          <w:bCs/>
        </w:rPr>
        <w:t>If the withdrawal occurs between 01 October until the end of the first term of study (31 December) the student will be liable for 25% of the full course fee.</w:t>
      </w:r>
    </w:p>
    <w:p w:rsidR="003B4646" w:rsidRDefault="003B4646" w:rsidP="003B4646">
      <w:pPr>
        <w:numPr>
          <w:ilvl w:val="1"/>
          <w:numId w:val="7"/>
        </w:numPr>
        <w:tabs>
          <w:tab w:val="clear" w:pos="1440"/>
          <w:tab w:val="num" w:pos="1134"/>
        </w:tabs>
        <w:spacing w:after="0" w:line="240" w:lineRule="auto"/>
        <w:ind w:left="1134" w:hanging="425"/>
        <w:jc w:val="both"/>
        <w:rPr>
          <w:rFonts w:ascii="Calibri" w:hAnsi="Calibri" w:cs="Arial"/>
          <w:bCs/>
        </w:rPr>
      </w:pPr>
      <w:r>
        <w:rPr>
          <w:rFonts w:ascii="Calibri" w:hAnsi="Calibri" w:cs="Arial"/>
          <w:bCs/>
        </w:rPr>
        <w:t>Any withdrawal after 31 December in each academic year will result in the student being liable for the full course fee.</w:t>
      </w:r>
    </w:p>
    <w:p w:rsidR="003B4646" w:rsidRDefault="003B4646" w:rsidP="003B4646">
      <w:pPr>
        <w:ind w:left="1440"/>
        <w:jc w:val="both"/>
        <w:rPr>
          <w:rFonts w:ascii="Calibri" w:hAnsi="Calibri" w:cs="Arial"/>
          <w:bCs/>
        </w:rPr>
      </w:pPr>
    </w:p>
    <w:p w:rsidR="003B4646" w:rsidRDefault="003B4646" w:rsidP="003B4646">
      <w:pPr>
        <w:numPr>
          <w:ilvl w:val="0"/>
          <w:numId w:val="7"/>
        </w:numPr>
        <w:spacing w:after="0" w:line="240" w:lineRule="auto"/>
        <w:ind w:hanging="720"/>
        <w:jc w:val="both"/>
        <w:rPr>
          <w:rFonts w:ascii="Calibri" w:hAnsi="Calibri" w:cs="Arial"/>
          <w:bCs/>
        </w:rPr>
      </w:pPr>
      <w:r>
        <w:rPr>
          <w:rFonts w:ascii="Calibri" w:hAnsi="Calibri" w:cs="Arial"/>
          <w:bCs/>
        </w:rPr>
        <w:t>Exceptions to the policy for the amount of fees liable by the student in the event of withdrawal will only be made on production of a medical certificate which evidences the inability of the student to complete their studies.</w:t>
      </w:r>
    </w:p>
    <w:p w:rsidR="003B4646" w:rsidRDefault="003B4646" w:rsidP="003B4646">
      <w:pPr>
        <w:jc w:val="both"/>
        <w:rPr>
          <w:rFonts w:ascii="Calibri" w:hAnsi="Calibri" w:cs="Arial"/>
          <w:bCs/>
        </w:rPr>
      </w:pPr>
    </w:p>
    <w:p w:rsidR="003B4646" w:rsidRDefault="003B4646" w:rsidP="003B4646">
      <w:pPr>
        <w:numPr>
          <w:ilvl w:val="0"/>
          <w:numId w:val="7"/>
        </w:numPr>
        <w:spacing w:after="0" w:line="240" w:lineRule="auto"/>
        <w:ind w:hanging="720"/>
        <w:jc w:val="both"/>
        <w:rPr>
          <w:rFonts w:ascii="Calibri" w:hAnsi="Calibri" w:cs="Arial"/>
          <w:bCs/>
        </w:rPr>
      </w:pPr>
      <w:r>
        <w:rPr>
          <w:rFonts w:ascii="Calibri" w:hAnsi="Calibri" w:cs="Arial"/>
          <w:bCs/>
        </w:rPr>
        <w:t>Further Education students who withdraw from short courses will not be entitled to a refund of fees other than in exceptional circumstances and with the approval of the Director of Finance.</w:t>
      </w:r>
    </w:p>
    <w:p w:rsidR="003B4646" w:rsidRDefault="003B4646" w:rsidP="003B4646">
      <w:pPr>
        <w:ind w:left="720"/>
        <w:jc w:val="both"/>
        <w:rPr>
          <w:rFonts w:ascii="Calibri" w:hAnsi="Calibri" w:cs="Arial"/>
          <w:bCs/>
        </w:rPr>
      </w:pPr>
    </w:p>
    <w:p w:rsidR="003B4646" w:rsidRPr="0096630C" w:rsidRDefault="003B4646" w:rsidP="003B4646">
      <w:pPr>
        <w:ind w:left="720"/>
        <w:jc w:val="both"/>
        <w:rPr>
          <w:rFonts w:ascii="Calibri" w:hAnsi="Calibri" w:cs="Arial"/>
          <w:bCs/>
          <w:u w:val="single"/>
        </w:rPr>
      </w:pPr>
      <w:r w:rsidRPr="0096630C">
        <w:rPr>
          <w:rFonts w:ascii="Calibri" w:hAnsi="Calibri" w:cs="Arial"/>
          <w:bCs/>
          <w:u w:val="single"/>
        </w:rPr>
        <w:t>The Further Education Advanced Learning Loan System</w:t>
      </w:r>
    </w:p>
    <w:p w:rsidR="003B4646" w:rsidRPr="0096630C" w:rsidRDefault="003B4646" w:rsidP="003B4646">
      <w:pPr>
        <w:jc w:val="both"/>
        <w:rPr>
          <w:rFonts w:ascii="Calibri" w:hAnsi="Calibri" w:cs="Arial"/>
          <w:bCs/>
        </w:rPr>
      </w:pPr>
    </w:p>
    <w:p w:rsidR="003B4646" w:rsidRPr="005D4B8E" w:rsidRDefault="003B4646" w:rsidP="003B4646">
      <w:pPr>
        <w:numPr>
          <w:ilvl w:val="0"/>
          <w:numId w:val="7"/>
        </w:numPr>
        <w:spacing w:after="0" w:line="240" w:lineRule="auto"/>
        <w:ind w:hanging="720"/>
        <w:jc w:val="both"/>
        <w:rPr>
          <w:rFonts w:ascii="Calibri" w:hAnsi="Calibri"/>
        </w:rPr>
      </w:pPr>
      <w:r w:rsidRPr="0096630C">
        <w:rPr>
          <w:rFonts w:ascii="Calibri" w:hAnsi="Calibri"/>
        </w:rPr>
        <w:t>Advanced Learning Loans (ALL) are available for qualifying students over the age of 24 who study level 3 programmes and are not eligible for fee remission</w:t>
      </w:r>
      <w:r>
        <w:rPr>
          <w:rFonts w:ascii="Calibri" w:hAnsi="Calibri"/>
        </w:rPr>
        <w:t>, and also for</w:t>
      </w:r>
      <w:r w:rsidRPr="00C127A1">
        <w:rPr>
          <w:rFonts w:ascii="Calibri" w:hAnsi="Calibri"/>
        </w:rPr>
        <w:t xml:space="preserve"> students aged 19 </w:t>
      </w:r>
      <w:r w:rsidRPr="00C127A1">
        <w:rPr>
          <w:rFonts w:ascii="Calibri" w:hAnsi="Calibri"/>
        </w:rPr>
        <w:lastRenderedPageBreak/>
        <w:t>– 23 studying a second full level 3 qualification.  No public funding support is available for these students.</w:t>
      </w:r>
    </w:p>
    <w:p w:rsidR="003B4646" w:rsidRDefault="003B4646" w:rsidP="003B4646">
      <w:pPr>
        <w:ind w:left="720"/>
        <w:jc w:val="both"/>
        <w:rPr>
          <w:rFonts w:ascii="Calibri" w:hAnsi="Calibri"/>
        </w:rPr>
      </w:pPr>
    </w:p>
    <w:p w:rsidR="003B4646" w:rsidRDefault="003B4646" w:rsidP="003B4646">
      <w:pPr>
        <w:numPr>
          <w:ilvl w:val="0"/>
          <w:numId w:val="7"/>
        </w:numPr>
        <w:spacing w:after="0" w:line="240" w:lineRule="auto"/>
        <w:ind w:hanging="720"/>
        <w:jc w:val="both"/>
        <w:rPr>
          <w:rFonts w:ascii="Calibri" w:hAnsi="Calibri"/>
        </w:rPr>
      </w:pPr>
      <w:r w:rsidRPr="0096630C">
        <w:rPr>
          <w:rFonts w:ascii="Calibri" w:hAnsi="Calibri"/>
        </w:rPr>
        <w:t>As with all other fee paying students, those funding through an A</w:t>
      </w:r>
      <w:r>
        <w:rPr>
          <w:rFonts w:ascii="Calibri" w:hAnsi="Calibri"/>
        </w:rPr>
        <w:t>LL</w:t>
      </w:r>
      <w:r w:rsidRPr="0096630C">
        <w:rPr>
          <w:rFonts w:ascii="Calibri" w:hAnsi="Calibri"/>
        </w:rPr>
        <w:t xml:space="preserve"> are at all times personally responsible for paying their fees.  </w:t>
      </w:r>
    </w:p>
    <w:p w:rsidR="003B4646" w:rsidRDefault="003B4646" w:rsidP="003B4646">
      <w:pPr>
        <w:pStyle w:val="ListParagraph"/>
        <w:jc w:val="both"/>
        <w:rPr>
          <w:rFonts w:ascii="Calibri" w:hAnsi="Calibri"/>
        </w:rPr>
      </w:pPr>
    </w:p>
    <w:p w:rsidR="003B4646" w:rsidRPr="0096630C" w:rsidRDefault="003B4646" w:rsidP="003B4646">
      <w:pPr>
        <w:numPr>
          <w:ilvl w:val="0"/>
          <w:numId w:val="7"/>
        </w:numPr>
        <w:spacing w:after="0" w:line="240" w:lineRule="auto"/>
        <w:ind w:hanging="720"/>
        <w:jc w:val="both"/>
        <w:rPr>
          <w:rFonts w:ascii="Calibri" w:hAnsi="Calibri"/>
        </w:rPr>
      </w:pPr>
      <w:r w:rsidRPr="0096630C">
        <w:rPr>
          <w:rFonts w:ascii="Calibri" w:hAnsi="Calibri"/>
        </w:rPr>
        <w:t>If a student presents themselves for enrolment on a course of study for which an ALL is required and does not provide evidence of acceptance through Student Finance England (SFE) they will be liable to pay a</w:t>
      </w:r>
      <w:r>
        <w:rPr>
          <w:rFonts w:ascii="Calibri" w:hAnsi="Calibri"/>
        </w:rPr>
        <w:t xml:space="preserve">n initial deposit </w:t>
      </w:r>
      <w:r w:rsidRPr="0096630C">
        <w:rPr>
          <w:rFonts w:ascii="Calibri" w:hAnsi="Calibri"/>
        </w:rPr>
        <w:t>fee of £250.  This fee will be refunded if evidence is provided within 8 weeks of the date of enrolment.  If this evidence is not provided in this period of time the £250 will not be refunded and the student will remain liable for the full course fee.</w:t>
      </w:r>
    </w:p>
    <w:p w:rsidR="003B4646" w:rsidRPr="0096630C" w:rsidRDefault="003B4646" w:rsidP="003B4646">
      <w:pPr>
        <w:jc w:val="both"/>
        <w:rPr>
          <w:rFonts w:ascii="Calibri" w:hAnsi="Calibri" w:cs="Arial"/>
          <w:b/>
          <w:bCs/>
        </w:rPr>
      </w:pPr>
    </w:p>
    <w:p w:rsidR="003B4646" w:rsidRPr="0096630C" w:rsidRDefault="003B4646" w:rsidP="003B4646">
      <w:pPr>
        <w:ind w:left="720"/>
        <w:jc w:val="both"/>
        <w:rPr>
          <w:rFonts w:ascii="Calibri" w:hAnsi="Calibri" w:cs="Arial"/>
          <w:bCs/>
          <w:u w:val="single"/>
        </w:rPr>
      </w:pPr>
      <w:r w:rsidRPr="0096630C">
        <w:rPr>
          <w:rFonts w:ascii="Calibri" w:hAnsi="Calibri" w:cs="Arial"/>
          <w:bCs/>
          <w:u w:val="single"/>
        </w:rPr>
        <w:t>Arrangements for student withdrawals</w:t>
      </w:r>
    </w:p>
    <w:p w:rsidR="003B4646" w:rsidRPr="000E7D6A" w:rsidRDefault="003B4646" w:rsidP="003B4646">
      <w:pPr>
        <w:pStyle w:val="ListParagraph"/>
        <w:jc w:val="both"/>
        <w:rPr>
          <w:rFonts w:ascii="Calibri" w:hAnsi="Calibri" w:cs="Arial"/>
          <w:bCs/>
          <w:highlight w:val="green"/>
        </w:rPr>
      </w:pPr>
    </w:p>
    <w:p w:rsidR="003B4646" w:rsidRPr="000A6753" w:rsidRDefault="003B4646" w:rsidP="003B4646">
      <w:pPr>
        <w:numPr>
          <w:ilvl w:val="0"/>
          <w:numId w:val="7"/>
        </w:numPr>
        <w:spacing w:after="0" w:line="240" w:lineRule="auto"/>
        <w:ind w:hanging="720"/>
        <w:jc w:val="both"/>
        <w:rPr>
          <w:rFonts w:ascii="Calibri" w:hAnsi="Calibri" w:cs="Arial"/>
          <w:b/>
          <w:bCs/>
        </w:rPr>
      </w:pPr>
      <w:r w:rsidRPr="00A01AEE">
        <w:rPr>
          <w:rFonts w:ascii="Calibri" w:hAnsi="Calibri"/>
        </w:rPr>
        <w:t xml:space="preserve">Students </w:t>
      </w:r>
      <w:r>
        <w:rPr>
          <w:rFonts w:ascii="Calibri" w:hAnsi="Calibri"/>
        </w:rPr>
        <w:t xml:space="preserve">using the ALL system for funding their studies who withdraw before the end of the course </w:t>
      </w:r>
      <w:r w:rsidRPr="00A01AEE">
        <w:rPr>
          <w:rFonts w:ascii="Calibri" w:hAnsi="Calibri"/>
        </w:rPr>
        <w:t>will not receive any refund of monies paid to the College by S</w:t>
      </w:r>
      <w:r w:rsidRPr="00FD159A">
        <w:rPr>
          <w:rFonts w:ascii="Calibri" w:hAnsi="Calibri"/>
        </w:rPr>
        <w:t>FE</w:t>
      </w:r>
      <w:r w:rsidRPr="00A01AEE">
        <w:rPr>
          <w:rFonts w:ascii="Calibri" w:hAnsi="Calibri"/>
        </w:rPr>
        <w:t xml:space="preserve"> and will not be liable for any unpaid </w:t>
      </w:r>
      <w:r w:rsidRPr="000E7D6A">
        <w:rPr>
          <w:rFonts w:ascii="Calibri" w:hAnsi="Calibri"/>
        </w:rPr>
        <w:t>fees</w:t>
      </w:r>
      <w:r>
        <w:rPr>
          <w:rFonts w:ascii="Calibri" w:hAnsi="Calibri"/>
        </w:rPr>
        <w:t>.</w:t>
      </w:r>
    </w:p>
    <w:p w:rsidR="003B4646" w:rsidRPr="000A6753" w:rsidRDefault="003B4646" w:rsidP="003B4646">
      <w:pPr>
        <w:rPr>
          <w:rFonts w:ascii="Calibri" w:hAnsi="Calibri" w:cs="Arial"/>
          <w:b/>
          <w:bCs/>
        </w:rPr>
      </w:pPr>
      <w:r>
        <w:rPr>
          <w:rFonts w:ascii="Calibri" w:hAnsi="Calibri"/>
        </w:rPr>
        <w:br/>
      </w:r>
      <w:r w:rsidRPr="000A6753">
        <w:rPr>
          <w:rFonts w:ascii="Calibri" w:hAnsi="Calibri"/>
          <w:b/>
        </w:rPr>
        <w:t>Full Cost and Commercial Programmes</w:t>
      </w:r>
      <w:r w:rsidRPr="000A6753">
        <w:rPr>
          <w:rFonts w:ascii="Calibri" w:hAnsi="Calibri"/>
          <w:b/>
        </w:rPr>
        <w:br/>
      </w:r>
    </w:p>
    <w:p w:rsidR="003B4646" w:rsidRPr="000A6753" w:rsidRDefault="003B4646" w:rsidP="003B4646">
      <w:pPr>
        <w:numPr>
          <w:ilvl w:val="0"/>
          <w:numId w:val="7"/>
        </w:numPr>
        <w:spacing w:after="0" w:line="240" w:lineRule="auto"/>
        <w:ind w:hanging="720"/>
        <w:jc w:val="both"/>
        <w:rPr>
          <w:rFonts w:ascii="Calibri" w:hAnsi="Calibri"/>
        </w:rPr>
      </w:pPr>
      <w:r w:rsidRPr="000A6753">
        <w:rPr>
          <w:rFonts w:ascii="Calibri" w:hAnsi="Calibri"/>
        </w:rPr>
        <w:t xml:space="preserve">Full cost and commercially competitive course offerings will continue with a margin contribution model.  The College will </w:t>
      </w:r>
      <w:r>
        <w:rPr>
          <w:rFonts w:ascii="Calibri" w:hAnsi="Calibri"/>
        </w:rPr>
        <w:t>price</w:t>
      </w:r>
      <w:r w:rsidRPr="000A6753">
        <w:rPr>
          <w:rFonts w:ascii="Calibri" w:hAnsi="Calibri"/>
        </w:rPr>
        <w:t xml:space="preserve"> each programme individually to reflect group size, delivery location, material, staffing costs and the competitive landscape in </w:t>
      </w:r>
      <w:r>
        <w:rPr>
          <w:rFonts w:ascii="Calibri" w:hAnsi="Calibri"/>
        </w:rPr>
        <w:t>the sector being serviced</w:t>
      </w:r>
      <w:r w:rsidRPr="000A6753">
        <w:rPr>
          <w:rFonts w:ascii="Calibri" w:hAnsi="Calibri"/>
        </w:rPr>
        <w:t>. Programmes will normally be priced on a full cost recovery basis, including a minimum margin of 20%.  All pricing decisions for full cost and commercial courses are subject to approval by the Director of Finance.</w:t>
      </w:r>
    </w:p>
    <w:p w:rsidR="003B4646" w:rsidRPr="00912BC9" w:rsidRDefault="003B4646" w:rsidP="003B4646">
      <w:pPr>
        <w:pStyle w:val="Heading2"/>
        <w:jc w:val="both"/>
        <w:rPr>
          <w:rFonts w:ascii="Calibri" w:hAnsi="Calibri"/>
          <w:i w:val="0"/>
          <w:iCs w:val="0"/>
          <w:sz w:val="22"/>
          <w:szCs w:val="22"/>
        </w:rPr>
      </w:pPr>
      <w:r w:rsidRPr="00912BC9">
        <w:rPr>
          <w:rFonts w:ascii="Calibri" w:hAnsi="Calibri"/>
          <w:i w:val="0"/>
          <w:iCs w:val="0"/>
          <w:sz w:val="22"/>
          <w:szCs w:val="22"/>
        </w:rPr>
        <w:t xml:space="preserve">Discretion </w:t>
      </w:r>
    </w:p>
    <w:p w:rsidR="003B4646" w:rsidRPr="00912BC9" w:rsidRDefault="003B4646" w:rsidP="003B4646">
      <w:pPr>
        <w:jc w:val="both"/>
        <w:rPr>
          <w:rFonts w:ascii="Calibri" w:hAnsi="Calibri"/>
        </w:rPr>
      </w:pPr>
    </w:p>
    <w:p w:rsidR="003B4646" w:rsidRPr="00912BC9" w:rsidRDefault="003B4646" w:rsidP="003B4646">
      <w:pPr>
        <w:numPr>
          <w:ilvl w:val="0"/>
          <w:numId w:val="7"/>
        </w:numPr>
        <w:spacing w:after="0" w:line="240" w:lineRule="auto"/>
        <w:ind w:hanging="720"/>
        <w:jc w:val="both"/>
        <w:rPr>
          <w:rFonts w:ascii="Calibri" w:hAnsi="Calibri"/>
        </w:rPr>
      </w:pPr>
      <w:r w:rsidRPr="00912BC9">
        <w:rPr>
          <w:rFonts w:ascii="Calibri" w:hAnsi="Calibri"/>
        </w:rPr>
        <w:t xml:space="preserve">The </w:t>
      </w:r>
      <w:r>
        <w:rPr>
          <w:rFonts w:ascii="Calibri" w:hAnsi="Calibri"/>
        </w:rPr>
        <w:t>Assistant Principal</w:t>
      </w:r>
      <w:r w:rsidRPr="00912BC9">
        <w:rPr>
          <w:rFonts w:ascii="Calibri" w:hAnsi="Calibri"/>
        </w:rPr>
        <w:t xml:space="preserve"> will continue to have discretion to set fees at a higher level than the assumed rate to reflect the market conditions. This must be agreed before the commencement of any delivery of the programmes under consideration</w:t>
      </w:r>
      <w:r>
        <w:rPr>
          <w:rFonts w:ascii="Calibri" w:hAnsi="Calibri"/>
        </w:rPr>
        <w:t xml:space="preserve"> and should not change once the academic year has begun other than in exceptional circumstances</w:t>
      </w:r>
      <w:r w:rsidRPr="00912BC9">
        <w:rPr>
          <w:rFonts w:ascii="Calibri" w:hAnsi="Calibri"/>
        </w:rPr>
        <w:t>.</w:t>
      </w:r>
    </w:p>
    <w:p w:rsidR="003B4646" w:rsidRPr="00912BC9" w:rsidRDefault="003B4646" w:rsidP="003B4646">
      <w:pPr>
        <w:ind w:left="720"/>
        <w:jc w:val="both"/>
        <w:rPr>
          <w:rFonts w:ascii="Calibri" w:hAnsi="Calibri"/>
        </w:rPr>
      </w:pPr>
    </w:p>
    <w:p w:rsidR="003B4646" w:rsidRPr="00FB2ABA" w:rsidRDefault="003B4646" w:rsidP="003B4646">
      <w:pPr>
        <w:numPr>
          <w:ilvl w:val="0"/>
          <w:numId w:val="7"/>
        </w:numPr>
        <w:spacing w:after="0" w:line="240" w:lineRule="auto"/>
        <w:ind w:hanging="720"/>
        <w:jc w:val="both"/>
        <w:rPr>
          <w:rFonts w:ascii="Calibri" w:hAnsi="Calibri" w:cs="Arial"/>
          <w:b/>
          <w:bCs/>
        </w:rPr>
      </w:pPr>
      <w:r w:rsidRPr="00BB29E6">
        <w:rPr>
          <w:rFonts w:ascii="Calibri" w:hAnsi="Calibri"/>
        </w:rPr>
        <w:t xml:space="preserve">Discretion to charge fees lower than required by this policy may only be exercised as part of the curriculum planning process and must be approved by the agreement of the </w:t>
      </w:r>
      <w:r>
        <w:rPr>
          <w:rFonts w:ascii="Calibri" w:hAnsi="Calibri"/>
        </w:rPr>
        <w:t>Principal.</w:t>
      </w:r>
    </w:p>
    <w:p w:rsidR="003B4646" w:rsidRPr="00BB29E6" w:rsidRDefault="003B4646" w:rsidP="003B4646">
      <w:pPr>
        <w:jc w:val="both"/>
        <w:rPr>
          <w:rFonts w:ascii="Calibri" w:hAnsi="Calibri" w:cs="Arial"/>
          <w:b/>
          <w:bCs/>
        </w:rPr>
      </w:pPr>
    </w:p>
    <w:p w:rsidR="003B4646" w:rsidRPr="008A63A0" w:rsidRDefault="003B4646" w:rsidP="003B4646">
      <w:pPr>
        <w:jc w:val="both"/>
        <w:rPr>
          <w:rFonts w:ascii="Calibri" w:hAnsi="Calibri"/>
        </w:rPr>
      </w:pPr>
      <w:r w:rsidRPr="00F75A2C">
        <w:rPr>
          <w:rFonts w:ascii="Calibri" w:hAnsi="Calibri" w:cs="Arial"/>
          <w:b/>
          <w:bCs/>
        </w:rPr>
        <w:t>Apprenticeship Programmes</w:t>
      </w:r>
      <w:r w:rsidRPr="008A63A0">
        <w:rPr>
          <w:rFonts w:ascii="Calibri" w:hAnsi="Calibri"/>
        </w:rPr>
        <w:t xml:space="preserve"> </w:t>
      </w:r>
    </w:p>
    <w:p w:rsidR="003B4646" w:rsidRDefault="003B4646" w:rsidP="003B4646">
      <w:pPr>
        <w:jc w:val="both"/>
        <w:rPr>
          <w:rFonts w:ascii="Calibri" w:hAnsi="Calibri"/>
        </w:rPr>
      </w:pPr>
    </w:p>
    <w:p w:rsidR="003B4646" w:rsidRDefault="003B4646" w:rsidP="003B4646">
      <w:pPr>
        <w:numPr>
          <w:ilvl w:val="0"/>
          <w:numId w:val="7"/>
        </w:numPr>
        <w:spacing w:after="0" w:line="240" w:lineRule="auto"/>
        <w:ind w:hanging="720"/>
        <w:jc w:val="both"/>
        <w:rPr>
          <w:rFonts w:ascii="Calibri" w:hAnsi="Calibri"/>
        </w:rPr>
      </w:pPr>
      <w:r>
        <w:rPr>
          <w:rFonts w:ascii="Calibri" w:hAnsi="Calibri"/>
        </w:rPr>
        <w:t>Since May 2017 apprenticeship programmes are subject to a new fee charging regime.</w:t>
      </w:r>
    </w:p>
    <w:p w:rsidR="003B4646" w:rsidRDefault="003B4646" w:rsidP="003B4646">
      <w:pPr>
        <w:ind w:left="720"/>
        <w:jc w:val="both"/>
        <w:rPr>
          <w:rFonts w:ascii="Calibri" w:hAnsi="Calibri"/>
        </w:rPr>
      </w:pPr>
    </w:p>
    <w:p w:rsidR="003B4646" w:rsidRDefault="003B4646" w:rsidP="003B4646">
      <w:pPr>
        <w:numPr>
          <w:ilvl w:val="0"/>
          <w:numId w:val="7"/>
        </w:numPr>
        <w:spacing w:after="0" w:line="240" w:lineRule="auto"/>
        <w:ind w:hanging="720"/>
        <w:jc w:val="both"/>
        <w:rPr>
          <w:rFonts w:ascii="Calibri" w:hAnsi="Calibri"/>
        </w:rPr>
      </w:pPr>
      <w:r>
        <w:rPr>
          <w:rFonts w:ascii="Calibri" w:hAnsi="Calibri"/>
        </w:rPr>
        <w:lastRenderedPageBreak/>
        <w:t>Employers paying the apprenticeship levy will pay fees directly from their digital apprenticeship accounts.</w:t>
      </w:r>
    </w:p>
    <w:p w:rsidR="003B4646" w:rsidRDefault="003B4646" w:rsidP="003B4646">
      <w:pPr>
        <w:pStyle w:val="ListParagraph"/>
        <w:jc w:val="both"/>
        <w:rPr>
          <w:rFonts w:ascii="Calibri" w:hAnsi="Calibri"/>
        </w:rPr>
      </w:pPr>
    </w:p>
    <w:p w:rsidR="003B4646" w:rsidRPr="0022225B" w:rsidRDefault="003B4646" w:rsidP="003B4646">
      <w:pPr>
        <w:numPr>
          <w:ilvl w:val="0"/>
          <w:numId w:val="7"/>
        </w:numPr>
        <w:spacing w:after="0" w:line="240" w:lineRule="auto"/>
        <w:ind w:hanging="720"/>
        <w:jc w:val="both"/>
        <w:rPr>
          <w:rFonts w:ascii="Calibri" w:hAnsi="Calibri"/>
        </w:rPr>
      </w:pPr>
      <w:r w:rsidRPr="0022225B">
        <w:rPr>
          <w:rFonts w:ascii="Calibri" w:hAnsi="Calibri"/>
        </w:rPr>
        <w:t>Employers who do not pay the apprenticeship levy will be required under the Agency funding rules to make a co-investment payment towards the total cost of the apprenticeship training of 5%.</w:t>
      </w:r>
    </w:p>
    <w:p w:rsidR="003B4646" w:rsidRDefault="003B4646" w:rsidP="003B4646">
      <w:pPr>
        <w:pStyle w:val="ListParagraph"/>
        <w:jc w:val="both"/>
        <w:rPr>
          <w:rFonts w:ascii="Calibri" w:hAnsi="Calibri"/>
        </w:rPr>
      </w:pPr>
    </w:p>
    <w:p w:rsidR="003B4646" w:rsidRDefault="003B4646" w:rsidP="003B4646">
      <w:pPr>
        <w:numPr>
          <w:ilvl w:val="0"/>
          <w:numId w:val="7"/>
        </w:numPr>
        <w:spacing w:after="0" w:line="240" w:lineRule="auto"/>
        <w:ind w:hanging="720"/>
        <w:jc w:val="both"/>
        <w:rPr>
          <w:rFonts w:ascii="Calibri" w:hAnsi="Calibri"/>
        </w:rPr>
      </w:pPr>
      <w:r>
        <w:rPr>
          <w:rFonts w:ascii="Calibri" w:hAnsi="Calibri"/>
        </w:rPr>
        <w:t>The College will set its initial fees for apprenticeships at the top of the published band within which each apprenticeship framework or standard qualification is placed by the Agency. Each fee is reviewed to consider any prior learning and cost of delivery, in accordance with ESFA requirements.</w:t>
      </w:r>
    </w:p>
    <w:p w:rsidR="003B4646" w:rsidRDefault="003B4646" w:rsidP="003B4646">
      <w:pPr>
        <w:pStyle w:val="ListParagraph"/>
        <w:jc w:val="both"/>
        <w:rPr>
          <w:rFonts w:ascii="Calibri" w:hAnsi="Calibri"/>
        </w:rPr>
      </w:pPr>
    </w:p>
    <w:p w:rsidR="003B4646" w:rsidRPr="0022225B" w:rsidRDefault="003B4646" w:rsidP="003B4646">
      <w:pPr>
        <w:numPr>
          <w:ilvl w:val="0"/>
          <w:numId w:val="7"/>
        </w:numPr>
        <w:spacing w:after="0" w:line="240" w:lineRule="auto"/>
        <w:ind w:hanging="720"/>
        <w:jc w:val="both"/>
        <w:rPr>
          <w:rFonts w:ascii="Calibri" w:hAnsi="Calibri"/>
        </w:rPr>
      </w:pPr>
      <w:r w:rsidRPr="0022225B">
        <w:rPr>
          <w:rFonts w:ascii="Calibri" w:hAnsi="Calibri"/>
        </w:rPr>
        <w:t>The fee of 5% charged to non-levy paying employers through co-investment is mandatory and cannot be waived under any circumstances.  However it should be noted that co-investment fees not paid within 90 days of the commencement of a programme automatically leads to withdrawal of funding by the funding agency.</w:t>
      </w:r>
    </w:p>
    <w:p w:rsidR="003B4646" w:rsidRDefault="003B4646" w:rsidP="003B4646">
      <w:pPr>
        <w:pStyle w:val="ListParagraph"/>
        <w:jc w:val="both"/>
        <w:rPr>
          <w:rFonts w:ascii="Calibri" w:hAnsi="Calibri"/>
        </w:rPr>
      </w:pPr>
    </w:p>
    <w:p w:rsidR="003B4646" w:rsidRDefault="003B4646" w:rsidP="003B4646">
      <w:pPr>
        <w:numPr>
          <w:ilvl w:val="0"/>
          <w:numId w:val="7"/>
        </w:numPr>
        <w:spacing w:after="0" w:line="240" w:lineRule="auto"/>
        <w:ind w:hanging="720"/>
        <w:jc w:val="both"/>
        <w:rPr>
          <w:rFonts w:ascii="Calibri" w:hAnsi="Calibri"/>
        </w:rPr>
      </w:pPr>
      <w:r>
        <w:rPr>
          <w:rFonts w:ascii="Calibri" w:hAnsi="Calibri"/>
        </w:rPr>
        <w:t>The fee will be refundable if the apprentice withdraws from the programmes within 42 days of their start date.  After this time, the fee paid or payable will be non-refundable under any circumstances.</w:t>
      </w:r>
    </w:p>
    <w:p w:rsidR="003B4646" w:rsidRDefault="003B4646" w:rsidP="003B4646">
      <w:pPr>
        <w:pStyle w:val="ListParagraph"/>
        <w:jc w:val="both"/>
        <w:rPr>
          <w:rFonts w:ascii="Calibri" w:hAnsi="Calibri"/>
        </w:rPr>
      </w:pPr>
    </w:p>
    <w:p w:rsidR="003B4646" w:rsidRDefault="003B4646" w:rsidP="003B4646">
      <w:pPr>
        <w:numPr>
          <w:ilvl w:val="0"/>
          <w:numId w:val="7"/>
        </w:numPr>
        <w:spacing w:after="0" w:line="240" w:lineRule="auto"/>
        <w:ind w:hanging="720"/>
        <w:jc w:val="both"/>
        <w:rPr>
          <w:rFonts w:ascii="Calibri" w:hAnsi="Calibri"/>
        </w:rPr>
      </w:pPr>
      <w:r>
        <w:rPr>
          <w:rFonts w:ascii="Calibri" w:hAnsi="Calibri"/>
        </w:rPr>
        <w:t>Levy paying employers will pay the full chargeable fee through the Digital Apprenticeship Account in accordance with the system and scheme rules set by the Agency.</w:t>
      </w:r>
    </w:p>
    <w:p w:rsidR="003B4646" w:rsidRDefault="003B4646" w:rsidP="003B4646">
      <w:pPr>
        <w:pStyle w:val="ListParagraph"/>
        <w:jc w:val="both"/>
        <w:rPr>
          <w:rFonts w:ascii="Calibri" w:hAnsi="Calibri"/>
        </w:rPr>
      </w:pPr>
    </w:p>
    <w:p w:rsidR="00A0290C" w:rsidRDefault="003B4646" w:rsidP="003B4646">
      <w:pPr>
        <w:numPr>
          <w:ilvl w:val="0"/>
          <w:numId w:val="7"/>
        </w:numPr>
        <w:spacing w:after="0" w:line="240" w:lineRule="auto"/>
        <w:ind w:hanging="720"/>
        <w:jc w:val="both"/>
        <w:rPr>
          <w:rFonts w:ascii="Calibri" w:hAnsi="Calibri"/>
        </w:rPr>
      </w:pPr>
      <w:r>
        <w:rPr>
          <w:rFonts w:ascii="Calibri" w:hAnsi="Calibri"/>
        </w:rPr>
        <w:t xml:space="preserve">Payment of the apprenticeship 5% will be collected by invoice for the full </w:t>
      </w:r>
      <w:r w:rsidRPr="0022225B">
        <w:rPr>
          <w:rFonts w:ascii="Calibri" w:hAnsi="Calibri"/>
        </w:rPr>
        <w:t>sum</w:t>
      </w:r>
      <w:r>
        <w:rPr>
          <w:rFonts w:ascii="Calibri" w:hAnsi="Calibri"/>
        </w:rPr>
        <w:t xml:space="preserve"> or direct debits instalments based on the length of programme with a minimum £50 per month contribution.  </w:t>
      </w:r>
    </w:p>
    <w:p w:rsidR="003B4646" w:rsidRDefault="003B4646" w:rsidP="003B4646">
      <w:pPr>
        <w:pStyle w:val="ListParagraph"/>
        <w:rPr>
          <w:rFonts w:ascii="Calibri" w:hAnsi="Calibri"/>
        </w:rPr>
      </w:pPr>
    </w:p>
    <w:p w:rsidR="003B4646" w:rsidRPr="00912BC9" w:rsidRDefault="003B4646" w:rsidP="003B4646">
      <w:pPr>
        <w:jc w:val="center"/>
        <w:rPr>
          <w:rFonts w:ascii="Calibri" w:hAnsi="Calibri" w:cs="Arial"/>
          <w:b/>
          <w:u w:val="single"/>
          <w:lang w:eastAsia="en-GB"/>
        </w:rPr>
      </w:pPr>
      <w:r w:rsidRPr="00912BC9">
        <w:rPr>
          <w:rFonts w:ascii="Calibri" w:hAnsi="Calibri" w:cs="Arial"/>
          <w:b/>
          <w:u w:val="single"/>
          <w:lang w:eastAsia="en-GB"/>
        </w:rPr>
        <w:t>Course Fee Credit Policy</w:t>
      </w:r>
    </w:p>
    <w:p w:rsidR="003B4646" w:rsidRPr="00912BC9" w:rsidRDefault="003B4646" w:rsidP="003B4646">
      <w:pPr>
        <w:rPr>
          <w:rFonts w:ascii="Calibri" w:hAnsi="Calibri" w:cs="Arial"/>
          <w:b/>
          <w:lang w:eastAsia="en-GB"/>
        </w:rPr>
      </w:pPr>
    </w:p>
    <w:p w:rsidR="003B4646" w:rsidRPr="00912BC9" w:rsidRDefault="003B4646" w:rsidP="003B4646">
      <w:pPr>
        <w:jc w:val="both"/>
        <w:rPr>
          <w:rFonts w:ascii="Calibri" w:hAnsi="Calibri" w:cs="Arial"/>
          <w:b/>
          <w:lang w:eastAsia="en-GB"/>
        </w:rPr>
      </w:pPr>
      <w:r w:rsidRPr="00912BC9">
        <w:rPr>
          <w:rFonts w:ascii="Calibri" w:hAnsi="Calibri" w:cs="Arial"/>
          <w:b/>
          <w:lang w:eastAsia="en-GB"/>
        </w:rPr>
        <w:t>Introduction and Background</w:t>
      </w:r>
    </w:p>
    <w:p w:rsidR="003B4646" w:rsidRPr="00912BC9" w:rsidRDefault="003B4646" w:rsidP="003B4646">
      <w:pPr>
        <w:jc w:val="both"/>
        <w:rPr>
          <w:rFonts w:ascii="Calibri" w:hAnsi="Calibri" w:cs="Arial"/>
          <w:lang w:eastAsia="en-GB"/>
        </w:rPr>
      </w:pPr>
    </w:p>
    <w:p w:rsidR="003B4646" w:rsidRPr="00912BC9" w:rsidRDefault="003B4646" w:rsidP="003B4646">
      <w:pPr>
        <w:jc w:val="both"/>
        <w:rPr>
          <w:rFonts w:ascii="Calibri" w:hAnsi="Calibri" w:cs="Arial"/>
          <w:lang w:eastAsia="en-GB"/>
        </w:rPr>
      </w:pPr>
      <w:r w:rsidRPr="00912BC9">
        <w:rPr>
          <w:rFonts w:ascii="Calibri" w:hAnsi="Calibri" w:cs="Arial"/>
          <w:lang w:eastAsia="en-GB"/>
        </w:rPr>
        <w:t>The College has a strong interest in collecting fees as early as possible to ensure cash liquidity and to reduce the effort and cost involved in chasing late and overdue debts.</w:t>
      </w:r>
    </w:p>
    <w:p w:rsidR="003B4646" w:rsidRPr="00912BC9" w:rsidRDefault="003B4646" w:rsidP="003B4646">
      <w:pPr>
        <w:jc w:val="both"/>
        <w:rPr>
          <w:rFonts w:ascii="Calibri" w:hAnsi="Calibri" w:cs="Arial"/>
          <w:lang w:eastAsia="en-GB"/>
        </w:rPr>
      </w:pPr>
    </w:p>
    <w:p w:rsidR="003B4646" w:rsidRPr="00912BC9" w:rsidRDefault="003B4646" w:rsidP="003B4646">
      <w:pPr>
        <w:jc w:val="both"/>
        <w:rPr>
          <w:rFonts w:ascii="Calibri" w:hAnsi="Calibri" w:cs="Arial"/>
          <w:lang w:eastAsia="en-GB"/>
        </w:rPr>
      </w:pPr>
      <w:r w:rsidRPr="00912BC9">
        <w:rPr>
          <w:rFonts w:ascii="Calibri" w:hAnsi="Calibri" w:cs="Arial"/>
          <w:lang w:eastAsia="en-GB"/>
        </w:rPr>
        <w:t>However it is equally in the College’s interests to encourage students to enrol on its courses particularly as some students find it difficult to pay all of their fees in advance of their course starting.</w:t>
      </w:r>
    </w:p>
    <w:p w:rsidR="003B4646" w:rsidRPr="00912BC9" w:rsidRDefault="003B4646" w:rsidP="003B4646">
      <w:pPr>
        <w:jc w:val="both"/>
        <w:rPr>
          <w:rFonts w:ascii="Calibri" w:hAnsi="Calibri" w:cs="Arial"/>
          <w:lang w:eastAsia="en-GB"/>
        </w:rPr>
      </w:pPr>
    </w:p>
    <w:p w:rsidR="003B4646" w:rsidRPr="00912BC9" w:rsidRDefault="003B4646" w:rsidP="003B4646">
      <w:pPr>
        <w:jc w:val="both"/>
        <w:rPr>
          <w:rFonts w:ascii="Calibri" w:hAnsi="Calibri" w:cs="Arial"/>
          <w:lang w:eastAsia="en-GB"/>
        </w:rPr>
      </w:pPr>
      <w:r w:rsidRPr="00912BC9">
        <w:rPr>
          <w:rFonts w:ascii="Calibri" w:hAnsi="Calibri" w:cs="Arial"/>
          <w:lang w:eastAsia="en-GB"/>
        </w:rPr>
        <w:t>It is therefore important that the College allows students to settle course fees in certain circumstances through the granting of credit and payment by instalments.  In order to minimise the risk of losses, the policy for granting of credit and the ability to pay by instalments must be strictly followed.</w:t>
      </w:r>
    </w:p>
    <w:p w:rsidR="003B4646" w:rsidRPr="00912BC9" w:rsidRDefault="003B4646" w:rsidP="003B4646">
      <w:pPr>
        <w:jc w:val="both"/>
        <w:rPr>
          <w:rFonts w:ascii="Calibri" w:hAnsi="Calibri" w:cs="Arial"/>
          <w:lang w:eastAsia="en-GB"/>
        </w:rPr>
      </w:pPr>
    </w:p>
    <w:p w:rsidR="003B4646" w:rsidRPr="00912BC9" w:rsidRDefault="003B4646" w:rsidP="003B4646">
      <w:pPr>
        <w:jc w:val="both"/>
        <w:rPr>
          <w:rFonts w:ascii="Calibri" w:hAnsi="Calibri" w:cs="Arial"/>
          <w:b/>
          <w:lang w:eastAsia="en-GB"/>
        </w:rPr>
      </w:pPr>
      <w:r w:rsidRPr="00912BC9">
        <w:rPr>
          <w:rFonts w:ascii="Calibri" w:hAnsi="Calibri" w:cs="Arial"/>
          <w:b/>
          <w:lang w:eastAsia="en-GB"/>
        </w:rPr>
        <w:t>Policy</w:t>
      </w:r>
    </w:p>
    <w:p w:rsidR="003B4646" w:rsidRPr="00912BC9" w:rsidRDefault="003B4646" w:rsidP="003B4646">
      <w:pPr>
        <w:jc w:val="both"/>
        <w:rPr>
          <w:rFonts w:ascii="Calibri" w:hAnsi="Calibri" w:cs="Arial"/>
          <w:lang w:eastAsia="en-GB"/>
        </w:rPr>
      </w:pPr>
    </w:p>
    <w:p w:rsidR="003B4646" w:rsidRPr="00912BC9" w:rsidRDefault="003B4646" w:rsidP="003B4646">
      <w:pPr>
        <w:jc w:val="both"/>
        <w:rPr>
          <w:rFonts w:ascii="Calibri" w:hAnsi="Calibri" w:cs="Arial"/>
          <w:u w:val="single"/>
          <w:lang w:eastAsia="en-GB"/>
        </w:rPr>
      </w:pPr>
      <w:r w:rsidRPr="00912BC9">
        <w:rPr>
          <w:rFonts w:ascii="Calibri" w:hAnsi="Calibri" w:cs="Arial"/>
          <w:u w:val="single"/>
          <w:lang w:eastAsia="en-GB"/>
        </w:rPr>
        <w:t>Important points about responsibility for fees</w:t>
      </w:r>
    </w:p>
    <w:p w:rsidR="003B4646" w:rsidRPr="00912BC9" w:rsidRDefault="003B4646" w:rsidP="003B4646">
      <w:pPr>
        <w:jc w:val="both"/>
        <w:rPr>
          <w:rFonts w:ascii="Calibri" w:hAnsi="Calibri" w:cs="Arial"/>
          <w:lang w:eastAsia="en-GB"/>
        </w:rPr>
      </w:pPr>
    </w:p>
    <w:p w:rsidR="003B4646" w:rsidRPr="00912BC9" w:rsidRDefault="003B4646" w:rsidP="003B4646">
      <w:pPr>
        <w:numPr>
          <w:ilvl w:val="0"/>
          <w:numId w:val="9"/>
        </w:numPr>
        <w:spacing w:after="0" w:line="240" w:lineRule="auto"/>
        <w:jc w:val="both"/>
        <w:rPr>
          <w:rFonts w:ascii="Calibri" w:hAnsi="Calibri" w:cs="Arial"/>
          <w:lang w:eastAsia="en-GB"/>
        </w:rPr>
      </w:pPr>
      <w:r w:rsidRPr="00912BC9">
        <w:rPr>
          <w:rFonts w:ascii="Calibri" w:hAnsi="Calibri" w:cs="Arial"/>
          <w:lang w:eastAsia="en-GB"/>
        </w:rPr>
        <w:t xml:space="preserve">The payment of student tuition fees is the responsibility of the student </w:t>
      </w:r>
      <w:r w:rsidRPr="0096630C">
        <w:rPr>
          <w:rFonts w:ascii="Calibri" w:hAnsi="Calibri" w:cs="Arial"/>
          <w:lang w:eastAsia="en-GB"/>
        </w:rPr>
        <w:t>and the</w:t>
      </w:r>
      <w:r w:rsidRPr="00912BC9">
        <w:rPr>
          <w:rFonts w:ascii="Calibri" w:hAnsi="Calibri" w:cs="Arial"/>
          <w:lang w:eastAsia="en-GB"/>
        </w:rPr>
        <w:t xml:space="preserve"> student alone</w:t>
      </w:r>
      <w:r>
        <w:rPr>
          <w:rFonts w:ascii="Calibri" w:hAnsi="Calibri" w:cs="Arial"/>
          <w:lang w:eastAsia="en-GB"/>
        </w:rPr>
        <w:t>.</w:t>
      </w:r>
    </w:p>
    <w:p w:rsidR="003B4646" w:rsidRPr="00912BC9" w:rsidRDefault="003B4646" w:rsidP="003B4646">
      <w:pPr>
        <w:numPr>
          <w:ilvl w:val="0"/>
          <w:numId w:val="9"/>
        </w:numPr>
        <w:spacing w:after="0" w:line="240" w:lineRule="auto"/>
        <w:jc w:val="both"/>
        <w:rPr>
          <w:rFonts w:ascii="Calibri" w:hAnsi="Calibri" w:cs="Arial"/>
          <w:lang w:eastAsia="en-GB"/>
        </w:rPr>
      </w:pPr>
      <w:r w:rsidRPr="00912BC9">
        <w:rPr>
          <w:rFonts w:ascii="Calibri" w:hAnsi="Calibri" w:cs="Arial"/>
          <w:lang w:eastAsia="en-GB"/>
        </w:rPr>
        <w:t>The student will be responsible for fees irrespective of whether they are paid by their employer or any other third party organisation</w:t>
      </w:r>
      <w:r>
        <w:rPr>
          <w:rFonts w:ascii="Calibri" w:hAnsi="Calibri" w:cs="Arial"/>
          <w:lang w:eastAsia="en-GB"/>
        </w:rPr>
        <w:t>.</w:t>
      </w:r>
    </w:p>
    <w:p w:rsidR="003B4646" w:rsidRPr="00912BC9" w:rsidRDefault="003B4646" w:rsidP="003B4646">
      <w:pPr>
        <w:numPr>
          <w:ilvl w:val="0"/>
          <w:numId w:val="9"/>
        </w:numPr>
        <w:spacing w:after="0" w:line="240" w:lineRule="auto"/>
        <w:jc w:val="both"/>
        <w:rPr>
          <w:rFonts w:ascii="Calibri" w:hAnsi="Calibri" w:cs="Arial"/>
          <w:lang w:eastAsia="en-GB"/>
        </w:rPr>
      </w:pPr>
      <w:r w:rsidRPr="00912BC9">
        <w:rPr>
          <w:rFonts w:ascii="Calibri" w:hAnsi="Calibri" w:cs="Arial"/>
          <w:lang w:eastAsia="en-GB"/>
        </w:rPr>
        <w:t xml:space="preserve">In the event of fees remaining unpaid, the College will seek to recover fees from the student. </w:t>
      </w:r>
    </w:p>
    <w:p w:rsidR="003B4646" w:rsidRPr="00912BC9" w:rsidRDefault="003B4646" w:rsidP="003B4646">
      <w:pPr>
        <w:jc w:val="both"/>
        <w:rPr>
          <w:rFonts w:ascii="Calibri" w:hAnsi="Calibri" w:cs="Arial"/>
          <w:lang w:eastAsia="en-GB"/>
        </w:rPr>
      </w:pPr>
    </w:p>
    <w:p w:rsidR="003B4646" w:rsidRPr="00912BC9" w:rsidRDefault="003B4646" w:rsidP="003B4646">
      <w:pPr>
        <w:jc w:val="both"/>
        <w:rPr>
          <w:rFonts w:ascii="Calibri" w:hAnsi="Calibri" w:cs="Arial"/>
          <w:u w:val="single"/>
          <w:lang w:eastAsia="en-GB"/>
        </w:rPr>
      </w:pPr>
      <w:r w:rsidRPr="00912BC9">
        <w:rPr>
          <w:rFonts w:ascii="Calibri" w:hAnsi="Calibri" w:cs="Arial"/>
          <w:u w:val="single"/>
          <w:lang w:eastAsia="en-GB"/>
        </w:rPr>
        <w:t>Individuals</w:t>
      </w:r>
    </w:p>
    <w:p w:rsidR="003B4646" w:rsidRPr="00912BC9" w:rsidRDefault="003B4646" w:rsidP="003B4646">
      <w:pPr>
        <w:jc w:val="both"/>
        <w:rPr>
          <w:rFonts w:ascii="Calibri" w:hAnsi="Calibri" w:cs="Arial"/>
          <w:lang w:eastAsia="en-GB"/>
        </w:rPr>
      </w:pPr>
    </w:p>
    <w:p w:rsidR="003B4646" w:rsidRPr="00912BC9" w:rsidRDefault="003B4646" w:rsidP="003B4646">
      <w:pPr>
        <w:jc w:val="both"/>
        <w:rPr>
          <w:rFonts w:ascii="Calibri" w:hAnsi="Calibri" w:cs="Arial"/>
          <w:lang w:eastAsia="en-GB"/>
        </w:rPr>
      </w:pPr>
      <w:r w:rsidRPr="00912BC9">
        <w:rPr>
          <w:rFonts w:ascii="Calibri" w:hAnsi="Calibri" w:cs="Arial"/>
          <w:lang w:eastAsia="en-GB"/>
        </w:rPr>
        <w:t>Payment of fees by instalments is only permitted in the following circumstances:</w:t>
      </w:r>
    </w:p>
    <w:p w:rsidR="003B4646" w:rsidRPr="00912BC9" w:rsidRDefault="003B4646" w:rsidP="003B4646">
      <w:pPr>
        <w:jc w:val="both"/>
        <w:rPr>
          <w:rFonts w:ascii="Calibri" w:hAnsi="Calibri" w:cs="Arial"/>
          <w:lang w:eastAsia="en-GB"/>
        </w:rPr>
      </w:pPr>
    </w:p>
    <w:p w:rsidR="003B4646" w:rsidRPr="00912BC9" w:rsidRDefault="003B4646" w:rsidP="003B4646">
      <w:pPr>
        <w:jc w:val="both"/>
        <w:rPr>
          <w:rFonts w:ascii="Calibri" w:hAnsi="Calibri" w:cs="Arial"/>
          <w:lang w:eastAsia="en-GB"/>
        </w:rPr>
      </w:pPr>
      <w:r w:rsidRPr="00912BC9">
        <w:rPr>
          <w:rFonts w:ascii="Calibri" w:hAnsi="Calibri" w:cs="Arial"/>
          <w:lang w:eastAsia="en-GB"/>
        </w:rPr>
        <w:t xml:space="preserve">Students studying Further Education courses;  </w:t>
      </w:r>
    </w:p>
    <w:p w:rsidR="003B4646" w:rsidRPr="00912BC9" w:rsidRDefault="003B4646" w:rsidP="003B4646">
      <w:pPr>
        <w:ind w:left="360"/>
        <w:jc w:val="both"/>
        <w:rPr>
          <w:rFonts w:ascii="Calibri" w:hAnsi="Calibri" w:cs="Arial"/>
          <w:lang w:eastAsia="en-GB"/>
        </w:rPr>
      </w:pPr>
    </w:p>
    <w:p w:rsidR="003B4646" w:rsidRPr="00912BC9" w:rsidRDefault="003B4646" w:rsidP="003B4646">
      <w:pPr>
        <w:jc w:val="both"/>
        <w:rPr>
          <w:rFonts w:ascii="Calibri" w:hAnsi="Calibri" w:cs="Arial"/>
          <w:lang w:eastAsia="en-GB"/>
        </w:rPr>
      </w:pPr>
      <w:r w:rsidRPr="00912BC9">
        <w:rPr>
          <w:rFonts w:ascii="Calibri" w:hAnsi="Calibri" w:cs="Arial"/>
          <w:lang w:eastAsia="en-GB"/>
        </w:rPr>
        <w:t>ALL of these conditions must be met:</w:t>
      </w:r>
    </w:p>
    <w:p w:rsidR="003B4646" w:rsidRPr="00912BC9" w:rsidRDefault="003B4646" w:rsidP="003B4646">
      <w:pPr>
        <w:jc w:val="both"/>
        <w:rPr>
          <w:rFonts w:ascii="Calibri" w:hAnsi="Calibri" w:cs="Arial"/>
          <w:lang w:eastAsia="en-GB"/>
        </w:rPr>
      </w:pPr>
    </w:p>
    <w:p w:rsidR="003B4646" w:rsidRPr="00912BC9" w:rsidRDefault="003B4646" w:rsidP="003B4646">
      <w:pPr>
        <w:numPr>
          <w:ilvl w:val="0"/>
          <w:numId w:val="8"/>
        </w:numPr>
        <w:tabs>
          <w:tab w:val="clear" w:pos="720"/>
        </w:tabs>
        <w:spacing w:after="0" w:line="240" w:lineRule="auto"/>
        <w:ind w:left="426"/>
        <w:jc w:val="both"/>
        <w:rPr>
          <w:rFonts w:ascii="Calibri" w:hAnsi="Calibri" w:cs="Arial"/>
          <w:lang w:eastAsia="en-GB"/>
        </w:rPr>
      </w:pPr>
      <w:r w:rsidRPr="00912BC9">
        <w:rPr>
          <w:rFonts w:ascii="Calibri" w:hAnsi="Calibri" w:cs="Arial"/>
          <w:lang w:eastAsia="en-GB"/>
        </w:rPr>
        <w:t>The total student fee for the year is £300 or greater.</w:t>
      </w:r>
    </w:p>
    <w:p w:rsidR="003B4646" w:rsidRPr="00912BC9" w:rsidRDefault="003B4646" w:rsidP="003B4646">
      <w:pPr>
        <w:numPr>
          <w:ilvl w:val="0"/>
          <w:numId w:val="8"/>
        </w:numPr>
        <w:tabs>
          <w:tab w:val="clear" w:pos="720"/>
        </w:tabs>
        <w:spacing w:after="0" w:line="240" w:lineRule="auto"/>
        <w:ind w:left="426"/>
        <w:jc w:val="both"/>
        <w:rPr>
          <w:rFonts w:ascii="Calibri" w:hAnsi="Calibri" w:cs="Arial"/>
          <w:lang w:eastAsia="en-GB"/>
        </w:rPr>
      </w:pPr>
      <w:r w:rsidRPr="00912BC9">
        <w:rPr>
          <w:rFonts w:ascii="Calibri" w:hAnsi="Calibri" w:cs="Arial"/>
          <w:lang w:eastAsia="en-GB"/>
        </w:rPr>
        <w:t>The course lasts for more than 3 months.</w:t>
      </w:r>
    </w:p>
    <w:p w:rsidR="003B4646" w:rsidRPr="00912BC9" w:rsidRDefault="003B4646" w:rsidP="003B4646">
      <w:pPr>
        <w:numPr>
          <w:ilvl w:val="0"/>
          <w:numId w:val="8"/>
        </w:numPr>
        <w:tabs>
          <w:tab w:val="clear" w:pos="720"/>
        </w:tabs>
        <w:spacing w:after="0" w:line="240" w:lineRule="auto"/>
        <w:ind w:left="426"/>
        <w:jc w:val="both"/>
        <w:rPr>
          <w:rFonts w:ascii="Calibri" w:hAnsi="Calibri" w:cs="Arial"/>
          <w:lang w:eastAsia="en-GB"/>
        </w:rPr>
      </w:pPr>
      <w:r w:rsidRPr="00912BC9">
        <w:rPr>
          <w:rFonts w:ascii="Calibri" w:hAnsi="Calibri" w:cs="Arial"/>
          <w:lang w:eastAsia="en-GB"/>
        </w:rPr>
        <w:t>The student has relevant identification and valid bank account details.</w:t>
      </w:r>
    </w:p>
    <w:p w:rsidR="003B4646" w:rsidRPr="00912BC9" w:rsidRDefault="003B4646" w:rsidP="003B4646">
      <w:pPr>
        <w:jc w:val="both"/>
        <w:rPr>
          <w:rFonts w:ascii="Calibri" w:hAnsi="Calibri" w:cs="Arial"/>
          <w:lang w:eastAsia="en-GB"/>
        </w:rPr>
      </w:pPr>
    </w:p>
    <w:p w:rsidR="003B4646" w:rsidRDefault="003B4646" w:rsidP="003B4646">
      <w:pPr>
        <w:jc w:val="both"/>
        <w:rPr>
          <w:rFonts w:ascii="Calibri" w:hAnsi="Calibri" w:cs="Arial"/>
          <w:lang w:eastAsia="en-GB"/>
        </w:rPr>
      </w:pPr>
      <w:r w:rsidRPr="00912BC9">
        <w:rPr>
          <w:rFonts w:ascii="Calibri" w:hAnsi="Calibri" w:cs="Arial"/>
          <w:lang w:eastAsia="en-GB"/>
        </w:rPr>
        <w:t>Instalment payments will only be authorised for direct debits.</w:t>
      </w:r>
    </w:p>
    <w:p w:rsidR="003B4646" w:rsidRPr="000E7D6A" w:rsidRDefault="003B4646" w:rsidP="003B4646">
      <w:pPr>
        <w:jc w:val="both"/>
        <w:rPr>
          <w:rFonts w:ascii="Calibri" w:hAnsi="Calibri" w:cs="Arial"/>
          <w:lang w:eastAsia="en-GB"/>
        </w:rPr>
      </w:pPr>
    </w:p>
    <w:p w:rsidR="003B4646" w:rsidRPr="0096630C" w:rsidRDefault="003B4646" w:rsidP="003B4646">
      <w:pPr>
        <w:jc w:val="both"/>
        <w:rPr>
          <w:rFonts w:ascii="Calibri" w:hAnsi="Calibri" w:cs="Arial"/>
          <w:lang w:eastAsia="en-GB"/>
        </w:rPr>
      </w:pPr>
      <w:r w:rsidRPr="0096630C">
        <w:rPr>
          <w:rFonts w:ascii="Calibri" w:hAnsi="Calibri" w:cs="Arial"/>
          <w:lang w:eastAsia="en-GB"/>
        </w:rPr>
        <w:t>Fees under £</w:t>
      </w:r>
      <w:r>
        <w:rPr>
          <w:rFonts w:ascii="Calibri" w:hAnsi="Calibri" w:cs="Arial"/>
          <w:lang w:eastAsia="en-GB"/>
        </w:rPr>
        <w:t>1,000</w:t>
      </w:r>
      <w:r w:rsidRPr="0096630C">
        <w:rPr>
          <w:rFonts w:ascii="Calibri" w:hAnsi="Calibri" w:cs="Arial"/>
          <w:lang w:eastAsia="en-GB"/>
        </w:rPr>
        <w:t xml:space="preserve"> may be paid by 4 instalments, 25% deposit payable at enrolment, with a further 3 consecutive monthly payments until the debt </w:t>
      </w:r>
      <w:r>
        <w:rPr>
          <w:rFonts w:ascii="Calibri" w:hAnsi="Calibri" w:cs="Arial"/>
          <w:lang w:eastAsia="en-GB"/>
        </w:rPr>
        <w:t>is</w:t>
      </w:r>
      <w:r w:rsidRPr="0096630C">
        <w:rPr>
          <w:rFonts w:ascii="Calibri" w:hAnsi="Calibri" w:cs="Arial"/>
          <w:lang w:eastAsia="en-GB"/>
        </w:rPr>
        <w:t xml:space="preserve"> settled.</w:t>
      </w:r>
    </w:p>
    <w:p w:rsidR="003B4646" w:rsidRPr="0096630C" w:rsidRDefault="003B4646" w:rsidP="003B4646">
      <w:pPr>
        <w:jc w:val="both"/>
        <w:rPr>
          <w:rFonts w:ascii="Calibri" w:hAnsi="Calibri" w:cs="Arial"/>
          <w:lang w:eastAsia="en-GB"/>
        </w:rPr>
      </w:pPr>
    </w:p>
    <w:p w:rsidR="003B4646" w:rsidRPr="000E7D6A" w:rsidRDefault="003B4646" w:rsidP="003B4646">
      <w:pPr>
        <w:jc w:val="both"/>
        <w:rPr>
          <w:rFonts w:ascii="Calibri" w:hAnsi="Calibri" w:cs="Arial"/>
          <w:lang w:eastAsia="en-GB"/>
        </w:rPr>
      </w:pPr>
      <w:r w:rsidRPr="0096630C">
        <w:rPr>
          <w:rFonts w:ascii="Calibri" w:hAnsi="Calibri" w:cs="Arial"/>
          <w:lang w:eastAsia="en-GB"/>
        </w:rPr>
        <w:t>Fees over £</w:t>
      </w:r>
      <w:r>
        <w:rPr>
          <w:rFonts w:ascii="Calibri" w:hAnsi="Calibri" w:cs="Arial"/>
          <w:lang w:eastAsia="en-GB"/>
        </w:rPr>
        <w:t>1,000</w:t>
      </w:r>
      <w:r w:rsidRPr="0096630C">
        <w:rPr>
          <w:rFonts w:ascii="Calibri" w:hAnsi="Calibri" w:cs="Arial"/>
          <w:lang w:eastAsia="en-GB"/>
        </w:rPr>
        <w:t xml:space="preserve"> may be paid by 4 instalments, 25% deposit payable at enrolment, with a further 3 bi-monthly payments until the debt is settled.</w:t>
      </w:r>
      <w:r>
        <w:rPr>
          <w:rFonts w:ascii="Calibri" w:hAnsi="Calibri" w:cs="Arial"/>
          <w:lang w:eastAsia="en-GB"/>
        </w:rPr>
        <w:t xml:space="preserve"> </w:t>
      </w:r>
    </w:p>
    <w:p w:rsidR="003B4646" w:rsidRPr="00912BC9" w:rsidRDefault="003B4646" w:rsidP="003B4646">
      <w:pPr>
        <w:jc w:val="both"/>
        <w:rPr>
          <w:rFonts w:ascii="Calibri" w:hAnsi="Calibri" w:cs="Arial"/>
          <w:lang w:eastAsia="en-GB"/>
        </w:rPr>
      </w:pPr>
    </w:p>
    <w:p w:rsidR="003B4646" w:rsidRPr="00912BC9" w:rsidRDefault="003B4646" w:rsidP="003B4646">
      <w:pPr>
        <w:jc w:val="both"/>
        <w:rPr>
          <w:rFonts w:ascii="Calibri" w:hAnsi="Calibri" w:cs="Arial"/>
          <w:lang w:eastAsia="en-GB"/>
        </w:rPr>
      </w:pPr>
      <w:r w:rsidRPr="00912BC9">
        <w:rPr>
          <w:rFonts w:ascii="Calibri" w:hAnsi="Calibri" w:cs="Arial"/>
          <w:lang w:eastAsia="en-GB"/>
        </w:rPr>
        <w:t>Students must sign the direct debit instruction at the point of enrolment.</w:t>
      </w:r>
    </w:p>
    <w:p w:rsidR="003B4646" w:rsidRDefault="003B4646" w:rsidP="003B4646">
      <w:pPr>
        <w:jc w:val="both"/>
        <w:rPr>
          <w:rFonts w:ascii="Calibri" w:hAnsi="Calibri" w:cs="Arial"/>
          <w:b/>
          <w:lang w:eastAsia="en-GB"/>
        </w:rPr>
      </w:pPr>
    </w:p>
    <w:p w:rsidR="003B4646" w:rsidRPr="00912BC9" w:rsidRDefault="003B4646" w:rsidP="003B4646">
      <w:pPr>
        <w:jc w:val="both"/>
        <w:rPr>
          <w:rFonts w:ascii="Calibri" w:hAnsi="Calibri" w:cs="Arial"/>
          <w:u w:val="single"/>
          <w:lang w:eastAsia="en-GB"/>
        </w:rPr>
      </w:pPr>
      <w:r w:rsidRPr="00912BC9">
        <w:rPr>
          <w:rFonts w:ascii="Calibri" w:hAnsi="Calibri" w:cs="Arial"/>
          <w:u w:val="single"/>
          <w:lang w:eastAsia="en-GB"/>
        </w:rPr>
        <w:t>Employer Payments</w:t>
      </w:r>
    </w:p>
    <w:p w:rsidR="003B4646" w:rsidRPr="00912BC9" w:rsidRDefault="003B4646" w:rsidP="003B4646">
      <w:pPr>
        <w:jc w:val="both"/>
        <w:rPr>
          <w:rFonts w:ascii="Calibri" w:hAnsi="Calibri" w:cs="Arial"/>
          <w:b/>
          <w:lang w:eastAsia="en-GB"/>
        </w:rPr>
      </w:pPr>
    </w:p>
    <w:p w:rsidR="003B4646" w:rsidRPr="00912BC9" w:rsidRDefault="003B4646" w:rsidP="003B4646">
      <w:pPr>
        <w:shd w:val="clear" w:color="auto" w:fill="FFFFFF"/>
        <w:spacing w:after="180"/>
        <w:jc w:val="both"/>
        <w:textAlignment w:val="baseline"/>
        <w:rPr>
          <w:rFonts w:ascii="Calibri" w:hAnsi="Calibri" w:cs="Arial"/>
          <w:lang w:eastAsia="en-GB"/>
        </w:rPr>
      </w:pPr>
      <w:r w:rsidRPr="00912BC9">
        <w:rPr>
          <w:rFonts w:ascii="Calibri" w:hAnsi="Calibri" w:cs="Arial"/>
          <w:lang w:eastAsia="en-GB"/>
        </w:rPr>
        <w:lastRenderedPageBreak/>
        <w:t>If your employer wishes to pay your Course fees, when you enrol you will need to provide;</w:t>
      </w:r>
    </w:p>
    <w:p w:rsidR="003B4646" w:rsidRPr="00912BC9" w:rsidRDefault="003B4646" w:rsidP="003B4646">
      <w:pPr>
        <w:numPr>
          <w:ilvl w:val="0"/>
          <w:numId w:val="10"/>
        </w:numPr>
        <w:shd w:val="clear" w:color="auto" w:fill="FFFFFF"/>
        <w:tabs>
          <w:tab w:val="clear" w:pos="720"/>
        </w:tabs>
        <w:spacing w:after="0" w:line="225" w:lineRule="atLeast"/>
        <w:ind w:left="450" w:hanging="450"/>
        <w:jc w:val="both"/>
        <w:textAlignment w:val="baseline"/>
        <w:rPr>
          <w:rFonts w:ascii="Calibri" w:hAnsi="Calibri" w:cs="Arial"/>
          <w:lang w:eastAsia="en-GB"/>
        </w:rPr>
      </w:pPr>
      <w:r w:rsidRPr="00912BC9">
        <w:rPr>
          <w:rFonts w:ascii="Calibri" w:hAnsi="Calibri" w:cs="Arial"/>
          <w:lang w:eastAsia="en-GB"/>
        </w:rPr>
        <w:t>A formal letter/purchase order on headed paper detailing the costs covered</w:t>
      </w:r>
      <w:r>
        <w:rPr>
          <w:rFonts w:ascii="Calibri" w:hAnsi="Calibri" w:cs="Arial"/>
          <w:lang w:eastAsia="en-GB"/>
        </w:rPr>
        <w:t xml:space="preserve"> at the start of each academic year of study.</w:t>
      </w:r>
    </w:p>
    <w:p w:rsidR="003B4646" w:rsidRPr="00912BC9" w:rsidRDefault="003B4646" w:rsidP="003B4646">
      <w:pPr>
        <w:shd w:val="clear" w:color="auto" w:fill="FFFFFF"/>
        <w:spacing w:line="225" w:lineRule="atLeast"/>
        <w:ind w:left="-150"/>
        <w:jc w:val="both"/>
        <w:textAlignment w:val="baseline"/>
        <w:rPr>
          <w:rFonts w:ascii="Calibri" w:hAnsi="Calibri" w:cs="Arial"/>
          <w:lang w:eastAsia="en-GB"/>
        </w:rPr>
      </w:pPr>
    </w:p>
    <w:p w:rsidR="003B4646" w:rsidRPr="00912BC9" w:rsidRDefault="003B4646" w:rsidP="003B4646">
      <w:pPr>
        <w:shd w:val="clear" w:color="auto" w:fill="FFFFFF"/>
        <w:spacing w:after="180"/>
        <w:jc w:val="both"/>
        <w:textAlignment w:val="baseline"/>
        <w:rPr>
          <w:rFonts w:ascii="Calibri" w:hAnsi="Calibri" w:cs="Arial"/>
          <w:lang w:eastAsia="en-GB"/>
        </w:rPr>
      </w:pPr>
      <w:r w:rsidRPr="00912BC9">
        <w:rPr>
          <w:rFonts w:ascii="Calibri" w:hAnsi="Calibri" w:cs="Arial"/>
          <w:lang w:eastAsia="en-GB"/>
        </w:rPr>
        <w:t>Fees are payable in full</w:t>
      </w:r>
      <w:r>
        <w:rPr>
          <w:rFonts w:ascii="Calibri" w:hAnsi="Calibri" w:cs="Arial"/>
          <w:lang w:eastAsia="en-GB"/>
        </w:rPr>
        <w:t xml:space="preserve"> and will be </w:t>
      </w:r>
      <w:r w:rsidRPr="0096630C">
        <w:rPr>
          <w:rFonts w:ascii="Calibri" w:hAnsi="Calibri" w:cs="Arial"/>
          <w:lang w:eastAsia="en-GB"/>
        </w:rPr>
        <w:t>due for payment 30 days from the date of invoice.</w:t>
      </w:r>
      <w:r>
        <w:rPr>
          <w:rFonts w:ascii="Calibri" w:hAnsi="Calibri" w:cs="Arial"/>
          <w:lang w:eastAsia="en-GB"/>
        </w:rPr>
        <w:t xml:space="preserve"> </w:t>
      </w:r>
      <w:r w:rsidRPr="00912BC9">
        <w:rPr>
          <w:rFonts w:ascii="Calibri" w:hAnsi="Calibri" w:cs="Arial"/>
          <w:lang w:eastAsia="en-GB"/>
        </w:rPr>
        <w:t xml:space="preserve">The enrolled student will at all times be liable for the full payment of fees relating to their course, irrespective of the payment method applied to the course of study.  </w:t>
      </w:r>
    </w:p>
    <w:p w:rsidR="003B4646" w:rsidRPr="00912BC9" w:rsidRDefault="003B4646" w:rsidP="003B4646">
      <w:pPr>
        <w:jc w:val="both"/>
        <w:rPr>
          <w:rFonts w:ascii="Calibri" w:hAnsi="Calibri" w:cs="Arial"/>
          <w:b/>
          <w:lang w:eastAsia="en-GB"/>
        </w:rPr>
      </w:pPr>
      <w:r w:rsidRPr="00912BC9">
        <w:rPr>
          <w:rFonts w:ascii="Calibri" w:hAnsi="Calibri" w:cs="Arial"/>
          <w:b/>
          <w:lang w:eastAsia="en-GB"/>
        </w:rPr>
        <w:t>Collection of Payment Instalments</w:t>
      </w:r>
    </w:p>
    <w:p w:rsidR="003B4646" w:rsidRPr="00912BC9" w:rsidRDefault="003B4646" w:rsidP="003B4646">
      <w:pPr>
        <w:jc w:val="both"/>
        <w:rPr>
          <w:rFonts w:ascii="Calibri" w:hAnsi="Calibri" w:cs="Arial"/>
          <w:lang w:eastAsia="en-GB"/>
        </w:rPr>
      </w:pPr>
    </w:p>
    <w:p w:rsidR="003B4646" w:rsidRPr="00912BC9" w:rsidRDefault="003B4646" w:rsidP="003B4646">
      <w:pPr>
        <w:jc w:val="both"/>
        <w:rPr>
          <w:rFonts w:ascii="Calibri" w:hAnsi="Calibri" w:cs="Arial"/>
          <w:b/>
          <w:lang w:eastAsia="en-GB"/>
        </w:rPr>
      </w:pPr>
      <w:r w:rsidRPr="00912BC9">
        <w:rPr>
          <w:rFonts w:ascii="Calibri" w:hAnsi="Calibri" w:cs="Arial"/>
          <w:b/>
          <w:lang w:eastAsia="en-GB"/>
        </w:rPr>
        <w:t>Overdue Instalments</w:t>
      </w:r>
    </w:p>
    <w:p w:rsidR="003B4646" w:rsidRPr="00912BC9" w:rsidRDefault="003B4646" w:rsidP="003B4646">
      <w:pPr>
        <w:jc w:val="both"/>
        <w:rPr>
          <w:rFonts w:ascii="Calibri" w:hAnsi="Calibri" w:cs="Arial"/>
          <w:lang w:eastAsia="en-GB"/>
        </w:rPr>
      </w:pPr>
    </w:p>
    <w:p w:rsidR="003B4646" w:rsidRPr="00912BC9" w:rsidRDefault="003B4646" w:rsidP="003B4646">
      <w:pPr>
        <w:jc w:val="both"/>
        <w:rPr>
          <w:rFonts w:ascii="Calibri" w:hAnsi="Calibri" w:cs="Arial"/>
          <w:lang w:eastAsia="en-GB"/>
        </w:rPr>
      </w:pPr>
      <w:r w:rsidRPr="00912BC9">
        <w:rPr>
          <w:rFonts w:ascii="Calibri" w:hAnsi="Calibri" w:cs="Arial"/>
          <w:lang w:eastAsia="en-GB"/>
        </w:rPr>
        <w:t>A failure to make payment on the due date will result in all outstanding fees being immediately due from the student.  Continued failure to pay course fees may result in removal from the course of study.</w:t>
      </w:r>
    </w:p>
    <w:p w:rsidR="003B4646" w:rsidRPr="00912BC9" w:rsidRDefault="003B4646" w:rsidP="003B4646">
      <w:pPr>
        <w:jc w:val="both"/>
        <w:rPr>
          <w:rFonts w:ascii="Calibri" w:hAnsi="Calibri" w:cs="Arial"/>
          <w:lang w:eastAsia="en-GB"/>
        </w:rPr>
      </w:pPr>
    </w:p>
    <w:p w:rsidR="003B4646" w:rsidRPr="00912BC9" w:rsidRDefault="003B4646" w:rsidP="003B4646">
      <w:pPr>
        <w:jc w:val="both"/>
        <w:rPr>
          <w:rFonts w:ascii="Calibri" w:hAnsi="Calibri" w:cs="Arial"/>
          <w:lang w:eastAsia="en-GB"/>
        </w:rPr>
      </w:pPr>
      <w:r w:rsidRPr="00912BC9">
        <w:rPr>
          <w:rFonts w:ascii="Calibri" w:hAnsi="Calibri" w:cs="Arial"/>
          <w:lang w:eastAsia="en-GB"/>
        </w:rPr>
        <w:t xml:space="preserve">In respect of overdue instalments, one week after the instalment became due </w:t>
      </w:r>
      <w:r w:rsidRPr="000E7D6A">
        <w:rPr>
          <w:rFonts w:ascii="Calibri" w:hAnsi="Calibri" w:cs="Arial"/>
          <w:lang w:eastAsia="en-GB"/>
        </w:rPr>
        <w:t>the Finance</w:t>
      </w:r>
      <w:r>
        <w:rPr>
          <w:rFonts w:ascii="Calibri" w:hAnsi="Calibri" w:cs="Arial"/>
          <w:lang w:eastAsia="en-GB"/>
        </w:rPr>
        <w:t xml:space="preserve"> </w:t>
      </w:r>
      <w:r w:rsidRPr="0096630C">
        <w:rPr>
          <w:rFonts w:ascii="Calibri" w:hAnsi="Calibri" w:cs="Arial"/>
          <w:lang w:eastAsia="en-GB"/>
        </w:rPr>
        <w:t>Credit Control Team</w:t>
      </w:r>
      <w:r w:rsidRPr="00912BC9">
        <w:rPr>
          <w:rFonts w:ascii="Calibri" w:hAnsi="Calibri" w:cs="Arial"/>
          <w:lang w:eastAsia="en-GB"/>
        </w:rPr>
        <w:t xml:space="preserve"> will inform the student of a failure to make a payment.  The student will be given a further one week from the issue of this letter to make the overdue payment.</w:t>
      </w:r>
    </w:p>
    <w:p w:rsidR="003B4646" w:rsidRPr="00912BC9" w:rsidRDefault="003B4646" w:rsidP="003B4646">
      <w:pPr>
        <w:jc w:val="both"/>
        <w:rPr>
          <w:rFonts w:ascii="Calibri" w:hAnsi="Calibri" w:cs="Arial"/>
          <w:lang w:eastAsia="en-GB"/>
        </w:rPr>
      </w:pPr>
    </w:p>
    <w:p w:rsidR="003B4646" w:rsidRPr="00912BC9" w:rsidRDefault="003B4646" w:rsidP="003B4646">
      <w:pPr>
        <w:jc w:val="both"/>
        <w:rPr>
          <w:rFonts w:ascii="Calibri" w:hAnsi="Calibri" w:cs="Arial"/>
          <w:lang w:eastAsia="en-GB"/>
        </w:rPr>
      </w:pPr>
      <w:r w:rsidRPr="00912BC9">
        <w:rPr>
          <w:rFonts w:ascii="Calibri" w:hAnsi="Calibri" w:cs="Arial"/>
          <w:lang w:eastAsia="en-GB"/>
        </w:rPr>
        <w:t>The letter will inform the student that they may be excluded from their class, exams and access to College facilities if the overdue instalment is not received within the specified time period.  A specific date and time will always be provided to the student.</w:t>
      </w:r>
    </w:p>
    <w:p w:rsidR="003B4646" w:rsidRPr="00912BC9" w:rsidRDefault="003B4646" w:rsidP="003B4646">
      <w:pPr>
        <w:jc w:val="both"/>
        <w:rPr>
          <w:rFonts w:ascii="Calibri" w:hAnsi="Calibri" w:cs="Arial"/>
          <w:lang w:eastAsia="en-GB"/>
        </w:rPr>
      </w:pPr>
    </w:p>
    <w:p w:rsidR="003B4646" w:rsidRPr="00912BC9" w:rsidRDefault="003B4646" w:rsidP="003B4646">
      <w:pPr>
        <w:jc w:val="both"/>
        <w:rPr>
          <w:rFonts w:ascii="Calibri" w:hAnsi="Calibri" w:cs="Arial"/>
          <w:lang w:eastAsia="en-GB"/>
        </w:rPr>
      </w:pPr>
      <w:r w:rsidRPr="00912BC9">
        <w:rPr>
          <w:rFonts w:ascii="Calibri" w:hAnsi="Calibri" w:cs="Arial"/>
          <w:lang w:eastAsia="en-GB"/>
        </w:rPr>
        <w:t>If payment is not received within the specified deadline then the</w:t>
      </w:r>
      <w:r>
        <w:rPr>
          <w:rFonts w:ascii="Calibri" w:hAnsi="Calibri" w:cs="Arial"/>
          <w:lang w:eastAsia="en-GB"/>
        </w:rPr>
        <w:t xml:space="preserve"> </w:t>
      </w:r>
      <w:r w:rsidRPr="0096630C">
        <w:rPr>
          <w:rFonts w:ascii="Calibri" w:hAnsi="Calibri" w:cs="Arial"/>
          <w:lang w:eastAsia="en-GB"/>
        </w:rPr>
        <w:t>Finance Credit Control</w:t>
      </w:r>
      <w:r>
        <w:rPr>
          <w:rFonts w:ascii="Calibri" w:hAnsi="Calibri" w:cs="Arial"/>
          <w:lang w:eastAsia="en-GB"/>
        </w:rPr>
        <w:t xml:space="preserve"> </w:t>
      </w:r>
      <w:r w:rsidRPr="00912BC9">
        <w:rPr>
          <w:rFonts w:ascii="Calibri" w:hAnsi="Calibri" w:cs="Arial"/>
          <w:lang w:eastAsia="en-GB"/>
        </w:rPr>
        <w:t xml:space="preserve">Team will instruct the Exams Team to withdraw the student’s exam entry and notify the </w:t>
      </w:r>
      <w:r>
        <w:rPr>
          <w:rFonts w:ascii="Calibri" w:hAnsi="Calibri" w:cs="Arial"/>
          <w:lang w:eastAsia="en-GB"/>
        </w:rPr>
        <w:t>Assistant Principal</w:t>
      </w:r>
      <w:r w:rsidRPr="00912BC9">
        <w:rPr>
          <w:rFonts w:ascii="Calibri" w:hAnsi="Calibri" w:cs="Arial"/>
          <w:lang w:eastAsia="en-GB"/>
        </w:rPr>
        <w:t xml:space="preserve"> and Tutor that the student has been excluded from the class.  The student will then be treated as a withdrawal.</w:t>
      </w:r>
    </w:p>
    <w:p w:rsidR="003B4646" w:rsidRPr="00912BC9" w:rsidRDefault="003B4646" w:rsidP="003B4646">
      <w:pPr>
        <w:jc w:val="both"/>
        <w:rPr>
          <w:rFonts w:ascii="Calibri" w:hAnsi="Calibri" w:cs="Arial"/>
          <w:lang w:eastAsia="en-GB"/>
        </w:rPr>
      </w:pPr>
    </w:p>
    <w:p w:rsidR="003B4646" w:rsidRPr="00912BC9" w:rsidRDefault="003B4646" w:rsidP="003B4646">
      <w:pPr>
        <w:jc w:val="both"/>
        <w:rPr>
          <w:rFonts w:ascii="Calibri" w:hAnsi="Calibri" w:cs="Arial"/>
          <w:lang w:eastAsia="en-GB"/>
        </w:rPr>
      </w:pPr>
      <w:r w:rsidRPr="00912BC9">
        <w:rPr>
          <w:rFonts w:ascii="Calibri" w:hAnsi="Calibri" w:cs="Arial"/>
          <w:lang w:eastAsia="en-GB"/>
        </w:rPr>
        <w:t xml:space="preserve">Details of the outstanding debt will be processed by the </w:t>
      </w:r>
      <w:r w:rsidRPr="0096630C">
        <w:rPr>
          <w:rFonts w:ascii="Calibri" w:hAnsi="Calibri" w:cs="Arial"/>
          <w:lang w:eastAsia="en-GB"/>
        </w:rPr>
        <w:t>Finance Credit Control</w:t>
      </w:r>
      <w:r>
        <w:rPr>
          <w:rFonts w:ascii="Calibri" w:hAnsi="Calibri" w:cs="Arial"/>
          <w:lang w:eastAsia="en-GB"/>
        </w:rPr>
        <w:t xml:space="preserve"> </w:t>
      </w:r>
      <w:r w:rsidRPr="00912BC9">
        <w:rPr>
          <w:rFonts w:ascii="Calibri" w:hAnsi="Calibri" w:cs="Arial"/>
          <w:lang w:eastAsia="en-GB"/>
        </w:rPr>
        <w:t>Team and subject to the standard debt recovery procedure.</w:t>
      </w:r>
      <w:r>
        <w:rPr>
          <w:rFonts w:ascii="Calibri" w:hAnsi="Calibri" w:cs="Arial"/>
          <w:lang w:eastAsia="en-GB"/>
        </w:rPr>
        <w:t xml:space="preserve"> This includes referral to a debt collection agency or application to the Small Claims Court as appropriate</w:t>
      </w:r>
    </w:p>
    <w:p w:rsidR="003B4646" w:rsidRPr="00912BC9" w:rsidRDefault="003B4646" w:rsidP="003B4646">
      <w:pPr>
        <w:jc w:val="both"/>
        <w:rPr>
          <w:rFonts w:ascii="Calibri" w:hAnsi="Calibri" w:cs="Arial"/>
          <w:lang w:eastAsia="en-GB"/>
        </w:rPr>
      </w:pPr>
    </w:p>
    <w:p w:rsidR="003B4646" w:rsidRPr="00912BC9" w:rsidRDefault="003B4646" w:rsidP="003B4646">
      <w:pPr>
        <w:jc w:val="both"/>
        <w:rPr>
          <w:rFonts w:ascii="Calibri" w:hAnsi="Calibri" w:cs="Arial"/>
          <w:lang w:eastAsia="en-GB"/>
        </w:rPr>
      </w:pPr>
      <w:r w:rsidRPr="00912BC9">
        <w:rPr>
          <w:rFonts w:ascii="Calibri" w:hAnsi="Calibri" w:cs="Arial"/>
          <w:lang w:eastAsia="en-GB"/>
        </w:rPr>
        <w:t xml:space="preserve">Once the debt recovery has entered this phase of collection, tutors should not engage in the provision of advice in relation to those fees.  At all times students should be referred to the College </w:t>
      </w:r>
      <w:r w:rsidRPr="0096630C">
        <w:rPr>
          <w:rFonts w:ascii="Calibri" w:hAnsi="Calibri" w:cs="Arial"/>
          <w:lang w:eastAsia="en-GB"/>
        </w:rPr>
        <w:t>Finance Credit Control</w:t>
      </w:r>
      <w:r w:rsidRPr="00912BC9">
        <w:rPr>
          <w:rFonts w:ascii="Calibri" w:hAnsi="Calibri" w:cs="Arial"/>
          <w:lang w:eastAsia="en-GB"/>
        </w:rPr>
        <w:t xml:space="preserve"> Team.</w:t>
      </w:r>
    </w:p>
    <w:p w:rsidR="003B4646" w:rsidRPr="00912BC9" w:rsidRDefault="003B4646" w:rsidP="003B4646">
      <w:pPr>
        <w:jc w:val="both"/>
        <w:rPr>
          <w:rFonts w:ascii="Calibri" w:hAnsi="Calibri" w:cs="Arial"/>
          <w:lang w:eastAsia="en-GB"/>
        </w:rPr>
      </w:pPr>
    </w:p>
    <w:p w:rsidR="003B4646" w:rsidRPr="00912BC9" w:rsidRDefault="003B4646" w:rsidP="003B4646">
      <w:pPr>
        <w:jc w:val="both"/>
        <w:rPr>
          <w:rFonts w:ascii="Calibri" w:hAnsi="Calibri" w:cs="Arial"/>
          <w:lang w:eastAsia="en-GB"/>
        </w:rPr>
      </w:pPr>
      <w:r w:rsidRPr="00912BC9">
        <w:rPr>
          <w:rFonts w:ascii="Calibri" w:hAnsi="Calibri" w:cs="Arial"/>
          <w:lang w:eastAsia="en-GB"/>
        </w:rPr>
        <w:t>The College will make a charge of £25 for each payment where collection has been refused.</w:t>
      </w:r>
    </w:p>
    <w:p w:rsidR="003B4646" w:rsidRPr="003B4646" w:rsidRDefault="003B4646" w:rsidP="003B4646">
      <w:pPr>
        <w:spacing w:after="0" w:line="240" w:lineRule="auto"/>
        <w:jc w:val="both"/>
        <w:rPr>
          <w:rFonts w:ascii="Calibri" w:hAnsi="Calibri"/>
        </w:rPr>
      </w:pPr>
    </w:p>
    <w:tbl>
      <w:tblPr>
        <w:tblW w:w="10205" w:type="dxa"/>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05"/>
      </w:tblGrid>
      <w:tr w:rsidR="00A0290C" w:rsidTr="00A0290C">
        <w:trPr>
          <w:trHeight w:val="14490"/>
        </w:trPr>
        <w:tc>
          <w:tcPr>
            <w:tcW w:w="10205" w:type="dxa"/>
          </w:tcPr>
          <w:p w:rsidR="00A0290C" w:rsidRDefault="00A0290C" w:rsidP="00855A3A">
            <w:pPr>
              <w:pStyle w:val="TableParagraph"/>
              <w:spacing w:before="110"/>
              <w:ind w:left="57" w:right="167"/>
              <w:rPr>
                <w:rFonts w:ascii="Arial"/>
                <w:b/>
              </w:rPr>
            </w:pPr>
            <w:r>
              <w:rPr>
                <w:rFonts w:ascii="Arial"/>
                <w:b/>
              </w:rPr>
              <w:lastRenderedPageBreak/>
              <w:t>3. Information about the policy you have in place to refund tuition fees and other relevant costs to your students and to provide compensation where necessary in the event that you are no longer able to preserve continuation of study</w:t>
            </w:r>
          </w:p>
          <w:p w:rsidR="00A0290C" w:rsidRDefault="00A0290C" w:rsidP="00855A3A">
            <w:pPr>
              <w:pStyle w:val="TableParagraph"/>
              <w:spacing w:before="190"/>
              <w:ind w:left="57" w:right="47"/>
              <w:jc w:val="both"/>
            </w:pPr>
            <w:r>
              <w:t>Fees over £1,500 may be paid by 4 instalments, 25% deposit payable at enrolment, with a further 3 bi-monthly payments until the debt is settled.</w:t>
            </w:r>
          </w:p>
          <w:p w:rsidR="00A0290C" w:rsidRDefault="00A0290C" w:rsidP="00855A3A">
            <w:pPr>
              <w:pStyle w:val="TableParagraph"/>
              <w:spacing w:before="5"/>
              <w:rPr>
                <w:rFonts w:ascii="Times New Roman"/>
                <w:sz w:val="23"/>
              </w:rPr>
            </w:pPr>
          </w:p>
          <w:p w:rsidR="00A0290C" w:rsidRDefault="00A0290C" w:rsidP="00855A3A">
            <w:pPr>
              <w:pStyle w:val="TableParagraph"/>
              <w:spacing w:line="480" w:lineRule="auto"/>
              <w:ind w:left="57" w:right="3593"/>
            </w:pPr>
            <w:r>
              <w:t xml:space="preserve">Students must sign the direct debit instruction at the point of enrolment. </w:t>
            </w:r>
            <w:r>
              <w:rPr>
                <w:u w:val="single"/>
              </w:rPr>
              <w:t>Employer Payments</w:t>
            </w:r>
          </w:p>
          <w:p w:rsidR="00A0290C" w:rsidRDefault="00A0290C" w:rsidP="00855A3A">
            <w:pPr>
              <w:pStyle w:val="TableParagraph"/>
              <w:spacing w:line="267" w:lineRule="exact"/>
              <w:ind w:left="57"/>
            </w:pPr>
            <w:r>
              <w:t>If your employer wishes to pay your Course fees, when you enrol you will need to provide;</w:t>
            </w:r>
          </w:p>
          <w:p w:rsidR="00A0290C" w:rsidRDefault="00A0290C" w:rsidP="00855A3A">
            <w:pPr>
              <w:pStyle w:val="TableParagraph"/>
              <w:tabs>
                <w:tab w:val="left" w:pos="508"/>
              </w:tabs>
              <w:spacing w:before="180"/>
              <w:ind w:left="509" w:right="57" w:hanging="452"/>
            </w:pPr>
            <w:r>
              <w:rPr>
                <w:rFonts w:ascii="Arial"/>
              </w:rPr>
              <w:t>1.</w:t>
            </w:r>
            <w:r>
              <w:rPr>
                <w:rFonts w:ascii="Arial"/>
              </w:rPr>
              <w:tab/>
            </w:r>
            <w:r>
              <w:t>A formal letter/purchase order on headed paper detailing the costs covered at the start of each academic year of</w:t>
            </w:r>
            <w:r>
              <w:rPr>
                <w:spacing w:val="-2"/>
              </w:rPr>
              <w:t xml:space="preserve"> </w:t>
            </w:r>
            <w:r>
              <w:t>study.</w:t>
            </w:r>
          </w:p>
          <w:p w:rsidR="00A0290C" w:rsidRDefault="00A0290C" w:rsidP="00855A3A">
            <w:pPr>
              <w:pStyle w:val="TableParagraph"/>
              <w:spacing w:before="6"/>
              <w:rPr>
                <w:rFonts w:ascii="Times New Roman"/>
                <w:sz w:val="23"/>
              </w:rPr>
            </w:pPr>
          </w:p>
          <w:p w:rsidR="00A0290C" w:rsidRDefault="00A0290C" w:rsidP="00855A3A">
            <w:pPr>
              <w:pStyle w:val="TableParagraph"/>
              <w:ind w:left="57" w:right="43"/>
              <w:jc w:val="both"/>
            </w:pPr>
            <w:r>
              <w:t>Fees</w:t>
            </w:r>
            <w:r>
              <w:rPr>
                <w:spacing w:val="-1"/>
              </w:rPr>
              <w:t xml:space="preserve"> </w:t>
            </w:r>
            <w:r>
              <w:t>are</w:t>
            </w:r>
            <w:r>
              <w:rPr>
                <w:spacing w:val="-1"/>
              </w:rPr>
              <w:t xml:space="preserve"> </w:t>
            </w:r>
            <w:r>
              <w:t>payable</w:t>
            </w:r>
            <w:r>
              <w:rPr>
                <w:spacing w:val="-4"/>
              </w:rPr>
              <w:t xml:space="preserve"> </w:t>
            </w:r>
            <w:r>
              <w:t>in</w:t>
            </w:r>
            <w:r>
              <w:rPr>
                <w:spacing w:val="-1"/>
              </w:rPr>
              <w:t xml:space="preserve"> </w:t>
            </w:r>
            <w:r>
              <w:t>full</w:t>
            </w:r>
            <w:r>
              <w:rPr>
                <w:spacing w:val="-3"/>
              </w:rPr>
              <w:t xml:space="preserve"> </w:t>
            </w:r>
            <w:r>
              <w:t>and</w:t>
            </w:r>
            <w:r>
              <w:rPr>
                <w:spacing w:val="-2"/>
              </w:rPr>
              <w:t xml:space="preserve"> </w:t>
            </w:r>
            <w:r>
              <w:t>will</w:t>
            </w:r>
            <w:r>
              <w:rPr>
                <w:spacing w:val="-4"/>
              </w:rPr>
              <w:t xml:space="preserve"> </w:t>
            </w:r>
            <w:r>
              <w:t>be due</w:t>
            </w:r>
            <w:r>
              <w:rPr>
                <w:spacing w:val="-3"/>
              </w:rPr>
              <w:t xml:space="preserve"> </w:t>
            </w:r>
            <w:r>
              <w:t>for</w:t>
            </w:r>
            <w:r>
              <w:rPr>
                <w:spacing w:val="-1"/>
              </w:rPr>
              <w:t xml:space="preserve"> </w:t>
            </w:r>
            <w:r>
              <w:t>payment</w:t>
            </w:r>
            <w:r>
              <w:rPr>
                <w:spacing w:val="-3"/>
              </w:rPr>
              <w:t xml:space="preserve"> </w:t>
            </w:r>
            <w:r>
              <w:t>30</w:t>
            </w:r>
            <w:r>
              <w:rPr>
                <w:spacing w:val="-3"/>
              </w:rPr>
              <w:t xml:space="preserve"> </w:t>
            </w:r>
            <w:r>
              <w:t>days</w:t>
            </w:r>
            <w:r>
              <w:rPr>
                <w:spacing w:val="-3"/>
              </w:rPr>
              <w:t xml:space="preserve"> </w:t>
            </w:r>
            <w:r>
              <w:t>from</w:t>
            </w:r>
            <w:r>
              <w:rPr>
                <w:spacing w:val="-3"/>
              </w:rPr>
              <w:t xml:space="preserve"> </w:t>
            </w:r>
            <w:r>
              <w:t>the</w:t>
            </w:r>
            <w:r>
              <w:rPr>
                <w:spacing w:val="-3"/>
              </w:rPr>
              <w:t xml:space="preserve"> </w:t>
            </w:r>
            <w:r>
              <w:t>date</w:t>
            </w:r>
            <w:r>
              <w:rPr>
                <w:spacing w:val="-3"/>
              </w:rPr>
              <w:t xml:space="preserve"> </w:t>
            </w:r>
            <w:r>
              <w:t>of</w:t>
            </w:r>
            <w:r>
              <w:rPr>
                <w:spacing w:val="-1"/>
              </w:rPr>
              <w:t xml:space="preserve"> </w:t>
            </w:r>
            <w:r>
              <w:t>invoice. The</w:t>
            </w:r>
            <w:r>
              <w:rPr>
                <w:spacing w:val="-3"/>
              </w:rPr>
              <w:t xml:space="preserve"> </w:t>
            </w:r>
            <w:r>
              <w:t>enrolled</w:t>
            </w:r>
            <w:r>
              <w:rPr>
                <w:spacing w:val="-4"/>
              </w:rPr>
              <w:t xml:space="preserve"> </w:t>
            </w:r>
            <w:r>
              <w:t>student</w:t>
            </w:r>
            <w:r>
              <w:rPr>
                <w:spacing w:val="-5"/>
              </w:rPr>
              <w:t xml:space="preserve"> </w:t>
            </w:r>
            <w:r>
              <w:t>will</w:t>
            </w:r>
            <w:r>
              <w:rPr>
                <w:spacing w:val="-1"/>
              </w:rPr>
              <w:t xml:space="preserve"> </w:t>
            </w:r>
            <w:r>
              <w:t>at all</w:t>
            </w:r>
            <w:r>
              <w:rPr>
                <w:spacing w:val="-6"/>
              </w:rPr>
              <w:t xml:space="preserve"> </w:t>
            </w:r>
            <w:r>
              <w:t>times</w:t>
            </w:r>
            <w:r>
              <w:rPr>
                <w:spacing w:val="-7"/>
              </w:rPr>
              <w:t xml:space="preserve"> </w:t>
            </w:r>
            <w:r>
              <w:t>be</w:t>
            </w:r>
            <w:r>
              <w:rPr>
                <w:spacing w:val="-6"/>
              </w:rPr>
              <w:t xml:space="preserve"> </w:t>
            </w:r>
            <w:r>
              <w:t>liable</w:t>
            </w:r>
            <w:r>
              <w:rPr>
                <w:spacing w:val="-8"/>
              </w:rPr>
              <w:t xml:space="preserve"> </w:t>
            </w:r>
            <w:r>
              <w:t>for</w:t>
            </w:r>
            <w:r>
              <w:rPr>
                <w:spacing w:val="-8"/>
              </w:rPr>
              <w:t xml:space="preserve"> </w:t>
            </w:r>
            <w:r>
              <w:t>the</w:t>
            </w:r>
            <w:r>
              <w:rPr>
                <w:spacing w:val="-7"/>
              </w:rPr>
              <w:t xml:space="preserve"> </w:t>
            </w:r>
            <w:r>
              <w:t>full</w:t>
            </w:r>
            <w:r>
              <w:rPr>
                <w:spacing w:val="-6"/>
              </w:rPr>
              <w:t xml:space="preserve"> </w:t>
            </w:r>
            <w:r>
              <w:t>payment</w:t>
            </w:r>
            <w:r>
              <w:rPr>
                <w:spacing w:val="-9"/>
              </w:rPr>
              <w:t xml:space="preserve"> </w:t>
            </w:r>
            <w:r>
              <w:t>of</w:t>
            </w:r>
            <w:r>
              <w:rPr>
                <w:spacing w:val="-6"/>
              </w:rPr>
              <w:t xml:space="preserve"> </w:t>
            </w:r>
            <w:r>
              <w:t>fees</w:t>
            </w:r>
            <w:r>
              <w:rPr>
                <w:spacing w:val="-8"/>
              </w:rPr>
              <w:t xml:space="preserve"> </w:t>
            </w:r>
            <w:r>
              <w:t>relating</w:t>
            </w:r>
            <w:r>
              <w:rPr>
                <w:spacing w:val="-5"/>
              </w:rPr>
              <w:t xml:space="preserve"> </w:t>
            </w:r>
            <w:r>
              <w:t>to</w:t>
            </w:r>
            <w:r>
              <w:rPr>
                <w:spacing w:val="-7"/>
              </w:rPr>
              <w:t xml:space="preserve"> </w:t>
            </w:r>
            <w:r>
              <w:t>their</w:t>
            </w:r>
            <w:r>
              <w:rPr>
                <w:spacing w:val="-9"/>
              </w:rPr>
              <w:t xml:space="preserve"> </w:t>
            </w:r>
            <w:r>
              <w:t>course,</w:t>
            </w:r>
            <w:r>
              <w:rPr>
                <w:spacing w:val="-6"/>
              </w:rPr>
              <w:t xml:space="preserve"> </w:t>
            </w:r>
            <w:r>
              <w:t>irrespective</w:t>
            </w:r>
            <w:r>
              <w:rPr>
                <w:spacing w:val="-7"/>
              </w:rPr>
              <w:t xml:space="preserve"> </w:t>
            </w:r>
            <w:r>
              <w:t>of</w:t>
            </w:r>
            <w:r>
              <w:rPr>
                <w:spacing w:val="-7"/>
              </w:rPr>
              <w:t xml:space="preserve"> </w:t>
            </w:r>
            <w:r>
              <w:t>the</w:t>
            </w:r>
            <w:r>
              <w:rPr>
                <w:spacing w:val="-6"/>
              </w:rPr>
              <w:t xml:space="preserve"> </w:t>
            </w:r>
            <w:r>
              <w:t>payment</w:t>
            </w:r>
            <w:r>
              <w:rPr>
                <w:spacing w:val="-10"/>
              </w:rPr>
              <w:t xml:space="preserve"> </w:t>
            </w:r>
            <w:r>
              <w:t>method</w:t>
            </w:r>
            <w:r>
              <w:rPr>
                <w:spacing w:val="-5"/>
              </w:rPr>
              <w:t xml:space="preserve"> </w:t>
            </w:r>
            <w:r>
              <w:t>applied to the course of</w:t>
            </w:r>
            <w:r>
              <w:rPr>
                <w:spacing w:val="-6"/>
              </w:rPr>
              <w:t xml:space="preserve"> </w:t>
            </w:r>
            <w:r>
              <w:t>study.</w:t>
            </w:r>
          </w:p>
          <w:p w:rsidR="00A0290C" w:rsidRDefault="00A0290C" w:rsidP="00855A3A">
            <w:pPr>
              <w:pStyle w:val="TableParagraph"/>
              <w:spacing w:before="181" w:line="477" w:lineRule="auto"/>
              <w:ind w:left="57" w:right="6979"/>
              <w:rPr>
                <w:b/>
              </w:rPr>
            </w:pPr>
            <w:r>
              <w:rPr>
                <w:b/>
              </w:rPr>
              <w:t>Collection of Payment Instalments Overdue Instalments</w:t>
            </w:r>
          </w:p>
          <w:p w:rsidR="00A0290C" w:rsidRDefault="00A0290C" w:rsidP="00855A3A">
            <w:pPr>
              <w:pStyle w:val="TableParagraph"/>
              <w:spacing w:before="4"/>
              <w:ind w:left="57" w:right="50"/>
              <w:jc w:val="both"/>
            </w:pPr>
            <w:r>
              <w:t>A failure to make payment on the due date will result in all outstanding fees being immediately due from the student. Continued failure to pay course fees may result in removal from the course of study.</w:t>
            </w:r>
          </w:p>
          <w:p w:rsidR="00A0290C" w:rsidRDefault="00A0290C" w:rsidP="00855A3A">
            <w:pPr>
              <w:pStyle w:val="TableParagraph"/>
              <w:spacing w:before="4"/>
              <w:rPr>
                <w:rFonts w:ascii="Times New Roman"/>
                <w:sz w:val="23"/>
              </w:rPr>
            </w:pPr>
          </w:p>
          <w:p w:rsidR="00A0290C" w:rsidRDefault="00A0290C" w:rsidP="00855A3A">
            <w:pPr>
              <w:pStyle w:val="TableParagraph"/>
              <w:ind w:left="57" w:right="49"/>
              <w:jc w:val="both"/>
            </w:pPr>
            <w:r>
              <w:t>In respect of overdue instalments, one week after the instalment became due the Finance Credit Control Team will inform the student of a failure to make a payment. The student will be given a further one week from the issue of this letter to make the overdue payment.</w:t>
            </w:r>
          </w:p>
          <w:p w:rsidR="00A0290C" w:rsidRDefault="00A0290C" w:rsidP="00855A3A">
            <w:pPr>
              <w:pStyle w:val="TableParagraph"/>
              <w:spacing w:before="6"/>
              <w:rPr>
                <w:rFonts w:ascii="Times New Roman"/>
                <w:sz w:val="23"/>
              </w:rPr>
            </w:pPr>
          </w:p>
          <w:p w:rsidR="00A0290C" w:rsidRDefault="00A0290C" w:rsidP="00855A3A">
            <w:pPr>
              <w:pStyle w:val="TableParagraph"/>
              <w:ind w:left="57" w:right="44"/>
              <w:jc w:val="both"/>
            </w:pPr>
            <w:r>
              <w:t>The</w:t>
            </w:r>
            <w:r>
              <w:rPr>
                <w:spacing w:val="-10"/>
              </w:rPr>
              <w:t xml:space="preserve"> </w:t>
            </w:r>
            <w:r>
              <w:t>letter</w:t>
            </w:r>
            <w:r>
              <w:rPr>
                <w:spacing w:val="-10"/>
              </w:rPr>
              <w:t xml:space="preserve"> </w:t>
            </w:r>
            <w:r>
              <w:t>will</w:t>
            </w:r>
            <w:r>
              <w:rPr>
                <w:spacing w:val="-10"/>
              </w:rPr>
              <w:t xml:space="preserve"> </w:t>
            </w:r>
            <w:r>
              <w:t>inform</w:t>
            </w:r>
            <w:r>
              <w:rPr>
                <w:spacing w:val="-9"/>
              </w:rPr>
              <w:t xml:space="preserve"> </w:t>
            </w:r>
            <w:r>
              <w:t>the</w:t>
            </w:r>
            <w:r>
              <w:rPr>
                <w:spacing w:val="-9"/>
              </w:rPr>
              <w:t xml:space="preserve"> </w:t>
            </w:r>
            <w:r>
              <w:t>student</w:t>
            </w:r>
            <w:r>
              <w:rPr>
                <w:spacing w:val="-10"/>
              </w:rPr>
              <w:t xml:space="preserve"> </w:t>
            </w:r>
            <w:r>
              <w:t>that</w:t>
            </w:r>
            <w:r>
              <w:rPr>
                <w:spacing w:val="-9"/>
              </w:rPr>
              <w:t xml:space="preserve"> </w:t>
            </w:r>
            <w:r>
              <w:t>they</w:t>
            </w:r>
            <w:r>
              <w:rPr>
                <w:spacing w:val="-12"/>
              </w:rPr>
              <w:t xml:space="preserve"> </w:t>
            </w:r>
            <w:r>
              <w:t>may</w:t>
            </w:r>
            <w:r>
              <w:rPr>
                <w:spacing w:val="-10"/>
              </w:rPr>
              <w:t xml:space="preserve"> </w:t>
            </w:r>
            <w:r>
              <w:t>be</w:t>
            </w:r>
            <w:r>
              <w:rPr>
                <w:spacing w:val="-9"/>
              </w:rPr>
              <w:t xml:space="preserve"> </w:t>
            </w:r>
            <w:r>
              <w:t>excluded</w:t>
            </w:r>
            <w:r>
              <w:rPr>
                <w:spacing w:val="-10"/>
              </w:rPr>
              <w:t xml:space="preserve"> </w:t>
            </w:r>
            <w:r>
              <w:t>from</w:t>
            </w:r>
            <w:r>
              <w:rPr>
                <w:spacing w:val="-8"/>
              </w:rPr>
              <w:t xml:space="preserve"> </w:t>
            </w:r>
            <w:r>
              <w:t>their</w:t>
            </w:r>
            <w:r>
              <w:rPr>
                <w:spacing w:val="-13"/>
              </w:rPr>
              <w:t xml:space="preserve"> </w:t>
            </w:r>
            <w:r>
              <w:t>class,</w:t>
            </w:r>
            <w:r>
              <w:rPr>
                <w:spacing w:val="-10"/>
              </w:rPr>
              <w:t xml:space="preserve"> </w:t>
            </w:r>
            <w:r>
              <w:t>exams</w:t>
            </w:r>
            <w:r>
              <w:rPr>
                <w:spacing w:val="-10"/>
              </w:rPr>
              <w:t xml:space="preserve"> </w:t>
            </w:r>
            <w:r>
              <w:t>and</w:t>
            </w:r>
            <w:r>
              <w:rPr>
                <w:spacing w:val="-10"/>
              </w:rPr>
              <w:t xml:space="preserve"> </w:t>
            </w:r>
            <w:r>
              <w:t>access</w:t>
            </w:r>
            <w:r>
              <w:rPr>
                <w:spacing w:val="-10"/>
              </w:rPr>
              <w:t xml:space="preserve"> </w:t>
            </w:r>
            <w:r>
              <w:t>to</w:t>
            </w:r>
            <w:r>
              <w:rPr>
                <w:spacing w:val="-9"/>
              </w:rPr>
              <w:t xml:space="preserve"> </w:t>
            </w:r>
            <w:r>
              <w:t>College</w:t>
            </w:r>
            <w:r>
              <w:rPr>
                <w:spacing w:val="-9"/>
              </w:rPr>
              <w:t xml:space="preserve"> </w:t>
            </w:r>
            <w:r>
              <w:t>facilities if the overdue instalment is not received within the specified time period.</w:t>
            </w:r>
            <w:r>
              <w:rPr>
                <w:spacing w:val="7"/>
              </w:rPr>
              <w:t xml:space="preserve"> </w:t>
            </w:r>
            <w:r>
              <w:t>A specific date and time will always be provided to the</w:t>
            </w:r>
            <w:r>
              <w:rPr>
                <w:spacing w:val="-5"/>
              </w:rPr>
              <w:t xml:space="preserve"> </w:t>
            </w:r>
            <w:r>
              <w:t>student.</w:t>
            </w:r>
          </w:p>
          <w:p w:rsidR="00A0290C" w:rsidRDefault="00A0290C" w:rsidP="00855A3A">
            <w:pPr>
              <w:pStyle w:val="TableParagraph"/>
              <w:spacing w:before="2"/>
              <w:rPr>
                <w:rFonts w:ascii="Times New Roman"/>
                <w:sz w:val="23"/>
              </w:rPr>
            </w:pPr>
          </w:p>
          <w:p w:rsidR="00A0290C" w:rsidRDefault="00A0290C" w:rsidP="00855A3A">
            <w:pPr>
              <w:pStyle w:val="TableParagraph"/>
              <w:spacing w:before="1"/>
              <w:ind w:left="57" w:right="45"/>
              <w:jc w:val="both"/>
            </w:pPr>
            <w:r>
              <w:t>If payment is not received within the specified deadline then the Finance Credit Control Team will instruct the Exams Team to withdraw the student’s exam entry and notify the Head of School and Tutor that the student has been excluded from the class. The student will then be treated as a withdrawal.</w:t>
            </w:r>
          </w:p>
          <w:p w:rsidR="00A0290C" w:rsidRDefault="00A0290C" w:rsidP="00855A3A">
            <w:pPr>
              <w:pStyle w:val="TableParagraph"/>
              <w:spacing w:before="4"/>
              <w:rPr>
                <w:rFonts w:ascii="Times New Roman"/>
                <w:sz w:val="23"/>
              </w:rPr>
            </w:pPr>
          </w:p>
          <w:p w:rsidR="00A0290C" w:rsidRDefault="00A0290C" w:rsidP="00855A3A">
            <w:pPr>
              <w:pStyle w:val="TableParagraph"/>
              <w:spacing w:before="1"/>
              <w:ind w:left="57" w:right="46"/>
              <w:jc w:val="both"/>
            </w:pPr>
            <w:r>
              <w:t>Details of the outstanding debt will be processed by the Finance Credit Control Team and subject to the standard debt recovery procedure.</w:t>
            </w:r>
          </w:p>
          <w:p w:rsidR="00A0290C" w:rsidRDefault="00A0290C" w:rsidP="00855A3A">
            <w:pPr>
              <w:pStyle w:val="TableParagraph"/>
              <w:spacing w:before="2"/>
              <w:rPr>
                <w:rFonts w:ascii="Times New Roman"/>
                <w:sz w:val="23"/>
              </w:rPr>
            </w:pPr>
          </w:p>
          <w:p w:rsidR="00A0290C" w:rsidRDefault="00A0290C" w:rsidP="00855A3A">
            <w:pPr>
              <w:pStyle w:val="TableParagraph"/>
              <w:spacing w:before="1"/>
              <w:ind w:left="57" w:right="48"/>
              <w:jc w:val="both"/>
            </w:pPr>
            <w:r>
              <w:t>Once the debt recovery has entered this phase of collection, tutors should not engage in the provision of advice in relation to those fees. At all times students should be referred to the College Finance Credit Control Team.</w:t>
            </w:r>
          </w:p>
          <w:p w:rsidR="00A0290C" w:rsidRDefault="00A0290C" w:rsidP="00855A3A">
            <w:pPr>
              <w:pStyle w:val="TableParagraph"/>
              <w:spacing w:before="4"/>
              <w:rPr>
                <w:rFonts w:ascii="Times New Roman"/>
                <w:sz w:val="23"/>
              </w:rPr>
            </w:pPr>
          </w:p>
          <w:p w:rsidR="00A0290C" w:rsidRPr="00A0290C" w:rsidRDefault="00A0290C" w:rsidP="00A0290C">
            <w:pPr>
              <w:pStyle w:val="TableParagraph"/>
              <w:ind w:left="57"/>
            </w:pPr>
            <w:r>
              <w:t>The College will make a charge of £25 for each payment where collection has been refused.</w:t>
            </w:r>
          </w:p>
          <w:p w:rsidR="00A0290C" w:rsidRDefault="00A0290C" w:rsidP="00855A3A">
            <w:pPr>
              <w:pStyle w:val="TableParagraph"/>
              <w:spacing w:before="2"/>
              <w:rPr>
                <w:rFonts w:ascii="Times New Roman"/>
              </w:rPr>
            </w:pPr>
          </w:p>
          <w:p w:rsidR="00A0290C" w:rsidRDefault="00A0290C" w:rsidP="00A0290C">
            <w:pPr>
              <w:pStyle w:val="TableParagraph"/>
              <w:ind w:left="57" w:right="73"/>
              <w:rPr>
                <w:rFonts w:ascii="Arial"/>
                <w:b/>
              </w:rPr>
            </w:pPr>
            <w:r w:rsidRPr="00A0290C">
              <w:t xml:space="preserve">We will put in place insurance arrangements to provide refunds and compensation for those students for whom we have identified an increased risk of non-continuation of study. We will ensure that this is in place by 1 August </w:t>
            </w:r>
            <w:r>
              <w:t>2022.</w:t>
            </w:r>
          </w:p>
        </w:tc>
      </w:tr>
      <w:tr w:rsidR="00A0290C" w:rsidTr="00A0290C">
        <w:trPr>
          <w:trHeight w:val="621"/>
        </w:trPr>
        <w:tc>
          <w:tcPr>
            <w:tcW w:w="10205" w:type="dxa"/>
            <w:tcBorders>
              <w:bottom w:val="nil"/>
            </w:tcBorders>
          </w:tcPr>
          <w:p w:rsidR="00A0290C" w:rsidRDefault="00A0290C" w:rsidP="00855A3A">
            <w:pPr>
              <w:pStyle w:val="TableParagraph"/>
              <w:spacing w:before="53"/>
              <w:ind w:left="57" w:right="486"/>
              <w:rPr>
                <w:rFonts w:ascii="Arial"/>
                <w:b/>
              </w:rPr>
            </w:pPr>
            <w:r>
              <w:rPr>
                <w:rFonts w:ascii="Arial"/>
                <w:b/>
              </w:rPr>
              <w:lastRenderedPageBreak/>
              <w:t>4. Information about how you will communicate with students about your student protection plan</w:t>
            </w:r>
          </w:p>
          <w:p w:rsidR="00A0290C" w:rsidRDefault="00A0290C" w:rsidP="00855A3A">
            <w:pPr>
              <w:pStyle w:val="TableParagraph"/>
              <w:spacing w:before="53"/>
              <w:ind w:left="57" w:right="486"/>
              <w:rPr>
                <w:rFonts w:ascii="Arial"/>
                <w:b/>
              </w:rPr>
            </w:pPr>
          </w:p>
          <w:p w:rsidR="00A0290C" w:rsidRPr="00A0290C" w:rsidRDefault="00A0290C" w:rsidP="00A0290C">
            <w:pPr>
              <w:pStyle w:val="TableParagraph"/>
              <w:ind w:left="57" w:right="188"/>
            </w:pPr>
            <w:r w:rsidRPr="00A0290C">
              <w:t>The essence of our student protection plan will be provided to students at application with a summary of the College’s terms and conditions provided at the same time. Staff will be aware of the implications of the protection plan in their annual updating training. The protection plan will be reviewed on an annual basis and will be discussed with course representatives as part of this review.</w:t>
            </w:r>
          </w:p>
          <w:p w:rsidR="00A0290C" w:rsidRPr="00A0290C" w:rsidRDefault="00A0290C" w:rsidP="00A0290C">
            <w:pPr>
              <w:pStyle w:val="TableParagraph"/>
            </w:pPr>
          </w:p>
          <w:p w:rsidR="00A0290C" w:rsidRDefault="00A0290C" w:rsidP="00A0290C">
            <w:pPr>
              <w:pStyle w:val="TableParagraph"/>
              <w:spacing w:before="53"/>
              <w:ind w:left="57" w:right="486"/>
            </w:pPr>
            <w:r w:rsidRPr="00A0290C">
              <w:t>Students will be informed as soon as decisions are made that will materially affect their course or programme. As a minimum students will be given at least one month’s notice prior to changes being implemented and will have the right to make representations about the changes as part of consultation processes. If we need to implement the measures within our protection plan we will ensure that students are referred to other appropriate institutions or are supported to make a transition to another programme at the college. We will ensure, working through our partner universities that students are provided with independent advice.</w:t>
            </w:r>
          </w:p>
          <w:p w:rsidR="00A0290C" w:rsidRDefault="00A0290C" w:rsidP="00A0290C">
            <w:pPr>
              <w:pStyle w:val="TableParagraph"/>
              <w:spacing w:before="53"/>
              <w:ind w:left="57" w:right="486"/>
              <w:rPr>
                <w:rFonts w:ascii="Arial"/>
                <w:b/>
              </w:rPr>
            </w:pPr>
          </w:p>
        </w:tc>
      </w:tr>
    </w:tbl>
    <w:p w:rsidR="00A0290C" w:rsidRDefault="00A0290C" w:rsidP="00A0290C">
      <w:pPr>
        <w:pStyle w:val="TableParagraph"/>
        <w:tabs>
          <w:tab w:val="left" w:pos="778"/>
        </w:tabs>
        <w:spacing w:line="237" w:lineRule="auto"/>
        <w:ind w:right="42"/>
        <w:jc w:val="both"/>
        <w:rPr>
          <w:sz w:val="24"/>
          <w:highlight w:val="yellow"/>
        </w:rPr>
      </w:pPr>
    </w:p>
    <w:p w:rsidR="00A0290C" w:rsidRDefault="00A0290C" w:rsidP="00A0290C">
      <w:pPr>
        <w:pStyle w:val="TableParagraph"/>
        <w:tabs>
          <w:tab w:val="left" w:pos="778"/>
        </w:tabs>
        <w:spacing w:line="237" w:lineRule="auto"/>
        <w:ind w:right="42"/>
        <w:jc w:val="both"/>
        <w:rPr>
          <w:sz w:val="24"/>
          <w:highlight w:val="yellow"/>
        </w:rPr>
      </w:pPr>
    </w:p>
    <w:p w:rsidR="00A0290C" w:rsidRDefault="00A0290C" w:rsidP="00A0290C">
      <w:pPr>
        <w:pStyle w:val="TableParagraph"/>
        <w:tabs>
          <w:tab w:val="left" w:pos="778"/>
        </w:tabs>
        <w:spacing w:line="237" w:lineRule="auto"/>
        <w:ind w:right="42"/>
        <w:jc w:val="both"/>
        <w:rPr>
          <w:sz w:val="24"/>
          <w:highlight w:val="yellow"/>
        </w:rPr>
      </w:pPr>
    </w:p>
    <w:p w:rsidR="00A0290C" w:rsidRDefault="00A0290C" w:rsidP="00A0290C">
      <w:pPr>
        <w:pStyle w:val="TableParagraph"/>
        <w:tabs>
          <w:tab w:val="left" w:pos="778"/>
        </w:tabs>
        <w:spacing w:line="237" w:lineRule="auto"/>
        <w:ind w:right="42"/>
        <w:jc w:val="both"/>
        <w:rPr>
          <w:sz w:val="24"/>
          <w:highlight w:val="yellow"/>
        </w:rPr>
      </w:pPr>
    </w:p>
    <w:p w:rsidR="00A0290C" w:rsidRPr="00A0290C" w:rsidRDefault="00A0290C" w:rsidP="00A0290C">
      <w:pPr>
        <w:pStyle w:val="TableParagraph"/>
        <w:tabs>
          <w:tab w:val="left" w:pos="778"/>
        </w:tabs>
        <w:spacing w:line="237" w:lineRule="auto"/>
        <w:ind w:right="42"/>
        <w:jc w:val="both"/>
        <w:rPr>
          <w:sz w:val="24"/>
          <w:highlight w:val="yellow"/>
        </w:rPr>
      </w:pPr>
    </w:p>
    <w:sectPr w:rsidR="00A0290C" w:rsidRPr="00A02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83960"/>
    <w:multiLevelType w:val="hybridMultilevel"/>
    <w:tmpl w:val="9B5C9EC0"/>
    <w:lvl w:ilvl="0" w:tplc="BF247C3E">
      <w:start w:val="35"/>
      <w:numFmt w:val="decimal"/>
      <w:lvlText w:val="%1."/>
      <w:lvlJc w:val="left"/>
      <w:pPr>
        <w:ind w:left="777" w:hanging="721"/>
        <w:jc w:val="left"/>
      </w:pPr>
      <w:rPr>
        <w:rFonts w:ascii="Calibri" w:eastAsia="Calibri" w:hAnsi="Calibri" w:cs="Calibri" w:hint="default"/>
        <w:spacing w:val="-25"/>
        <w:w w:val="100"/>
        <w:sz w:val="24"/>
        <w:szCs w:val="24"/>
        <w:lang w:val="en-GB" w:eastAsia="en-GB" w:bidi="en-GB"/>
      </w:rPr>
    </w:lvl>
    <w:lvl w:ilvl="1" w:tplc="E6247AC8">
      <w:numFmt w:val="bullet"/>
      <w:lvlText w:val="•"/>
      <w:lvlJc w:val="left"/>
      <w:pPr>
        <w:ind w:left="1721" w:hanging="721"/>
      </w:pPr>
      <w:rPr>
        <w:rFonts w:hint="default"/>
        <w:lang w:val="en-GB" w:eastAsia="en-GB" w:bidi="en-GB"/>
      </w:rPr>
    </w:lvl>
    <w:lvl w:ilvl="2" w:tplc="ACB2D02C">
      <w:numFmt w:val="bullet"/>
      <w:lvlText w:val="•"/>
      <w:lvlJc w:val="left"/>
      <w:pPr>
        <w:ind w:left="2663" w:hanging="721"/>
      </w:pPr>
      <w:rPr>
        <w:rFonts w:hint="default"/>
        <w:lang w:val="en-GB" w:eastAsia="en-GB" w:bidi="en-GB"/>
      </w:rPr>
    </w:lvl>
    <w:lvl w:ilvl="3" w:tplc="AFB650B4">
      <w:numFmt w:val="bullet"/>
      <w:lvlText w:val="•"/>
      <w:lvlJc w:val="left"/>
      <w:pPr>
        <w:ind w:left="3604" w:hanging="721"/>
      </w:pPr>
      <w:rPr>
        <w:rFonts w:hint="default"/>
        <w:lang w:val="en-GB" w:eastAsia="en-GB" w:bidi="en-GB"/>
      </w:rPr>
    </w:lvl>
    <w:lvl w:ilvl="4" w:tplc="747AC904">
      <w:numFmt w:val="bullet"/>
      <w:lvlText w:val="•"/>
      <w:lvlJc w:val="left"/>
      <w:pPr>
        <w:ind w:left="4546" w:hanging="721"/>
      </w:pPr>
      <w:rPr>
        <w:rFonts w:hint="default"/>
        <w:lang w:val="en-GB" w:eastAsia="en-GB" w:bidi="en-GB"/>
      </w:rPr>
    </w:lvl>
    <w:lvl w:ilvl="5" w:tplc="4B08DA50">
      <w:numFmt w:val="bullet"/>
      <w:lvlText w:val="•"/>
      <w:lvlJc w:val="left"/>
      <w:pPr>
        <w:ind w:left="5487" w:hanging="721"/>
      </w:pPr>
      <w:rPr>
        <w:rFonts w:hint="default"/>
        <w:lang w:val="en-GB" w:eastAsia="en-GB" w:bidi="en-GB"/>
      </w:rPr>
    </w:lvl>
    <w:lvl w:ilvl="6" w:tplc="B2D05CC4">
      <w:numFmt w:val="bullet"/>
      <w:lvlText w:val="•"/>
      <w:lvlJc w:val="left"/>
      <w:pPr>
        <w:ind w:left="6429" w:hanging="721"/>
      </w:pPr>
      <w:rPr>
        <w:rFonts w:hint="default"/>
        <w:lang w:val="en-GB" w:eastAsia="en-GB" w:bidi="en-GB"/>
      </w:rPr>
    </w:lvl>
    <w:lvl w:ilvl="7" w:tplc="57524A7E">
      <w:numFmt w:val="bullet"/>
      <w:lvlText w:val="•"/>
      <w:lvlJc w:val="left"/>
      <w:pPr>
        <w:ind w:left="7370" w:hanging="721"/>
      </w:pPr>
      <w:rPr>
        <w:rFonts w:hint="default"/>
        <w:lang w:val="en-GB" w:eastAsia="en-GB" w:bidi="en-GB"/>
      </w:rPr>
    </w:lvl>
    <w:lvl w:ilvl="8" w:tplc="1D0E04D6">
      <w:numFmt w:val="bullet"/>
      <w:lvlText w:val="•"/>
      <w:lvlJc w:val="left"/>
      <w:pPr>
        <w:ind w:left="8312" w:hanging="721"/>
      </w:pPr>
      <w:rPr>
        <w:rFonts w:hint="default"/>
        <w:lang w:val="en-GB" w:eastAsia="en-GB" w:bidi="en-GB"/>
      </w:rPr>
    </w:lvl>
  </w:abstractNum>
  <w:abstractNum w:abstractNumId="1" w15:restartNumberingAfterBreak="0">
    <w:nsid w:val="25A324C0"/>
    <w:multiLevelType w:val="hybridMultilevel"/>
    <w:tmpl w:val="19226E18"/>
    <w:lvl w:ilvl="0" w:tplc="0B3E9A52">
      <w:start w:val="1"/>
      <w:numFmt w:val="decimal"/>
      <w:lvlText w:val="%1."/>
      <w:lvlJc w:val="left"/>
      <w:pPr>
        <w:ind w:left="777" w:hanging="721"/>
      </w:pPr>
      <w:rPr>
        <w:rFonts w:hint="default"/>
        <w:spacing w:val="-6"/>
        <w:w w:val="100"/>
        <w:lang w:val="en-GB" w:eastAsia="en-GB" w:bidi="en-GB"/>
      </w:rPr>
    </w:lvl>
    <w:lvl w:ilvl="1" w:tplc="C9622796">
      <w:numFmt w:val="bullet"/>
      <w:lvlText w:val="•"/>
      <w:lvlJc w:val="left"/>
      <w:pPr>
        <w:ind w:left="1721" w:hanging="721"/>
      </w:pPr>
      <w:rPr>
        <w:rFonts w:hint="default"/>
        <w:lang w:val="en-GB" w:eastAsia="en-GB" w:bidi="en-GB"/>
      </w:rPr>
    </w:lvl>
    <w:lvl w:ilvl="2" w:tplc="1AA2F98E">
      <w:numFmt w:val="bullet"/>
      <w:lvlText w:val="•"/>
      <w:lvlJc w:val="left"/>
      <w:pPr>
        <w:ind w:left="2663" w:hanging="721"/>
      </w:pPr>
      <w:rPr>
        <w:rFonts w:hint="default"/>
        <w:lang w:val="en-GB" w:eastAsia="en-GB" w:bidi="en-GB"/>
      </w:rPr>
    </w:lvl>
    <w:lvl w:ilvl="3" w:tplc="44A02E90">
      <w:numFmt w:val="bullet"/>
      <w:lvlText w:val="•"/>
      <w:lvlJc w:val="left"/>
      <w:pPr>
        <w:ind w:left="3604" w:hanging="721"/>
      </w:pPr>
      <w:rPr>
        <w:rFonts w:hint="default"/>
        <w:lang w:val="en-GB" w:eastAsia="en-GB" w:bidi="en-GB"/>
      </w:rPr>
    </w:lvl>
    <w:lvl w:ilvl="4" w:tplc="8FE85A3A">
      <w:numFmt w:val="bullet"/>
      <w:lvlText w:val="•"/>
      <w:lvlJc w:val="left"/>
      <w:pPr>
        <w:ind w:left="4546" w:hanging="721"/>
      </w:pPr>
      <w:rPr>
        <w:rFonts w:hint="default"/>
        <w:lang w:val="en-GB" w:eastAsia="en-GB" w:bidi="en-GB"/>
      </w:rPr>
    </w:lvl>
    <w:lvl w:ilvl="5" w:tplc="F0AA6C14">
      <w:numFmt w:val="bullet"/>
      <w:lvlText w:val="•"/>
      <w:lvlJc w:val="left"/>
      <w:pPr>
        <w:ind w:left="5487" w:hanging="721"/>
      </w:pPr>
      <w:rPr>
        <w:rFonts w:hint="default"/>
        <w:lang w:val="en-GB" w:eastAsia="en-GB" w:bidi="en-GB"/>
      </w:rPr>
    </w:lvl>
    <w:lvl w:ilvl="6" w:tplc="DDAE065A">
      <w:numFmt w:val="bullet"/>
      <w:lvlText w:val="•"/>
      <w:lvlJc w:val="left"/>
      <w:pPr>
        <w:ind w:left="6429" w:hanging="721"/>
      </w:pPr>
      <w:rPr>
        <w:rFonts w:hint="default"/>
        <w:lang w:val="en-GB" w:eastAsia="en-GB" w:bidi="en-GB"/>
      </w:rPr>
    </w:lvl>
    <w:lvl w:ilvl="7" w:tplc="1E6EC96C">
      <w:numFmt w:val="bullet"/>
      <w:lvlText w:val="•"/>
      <w:lvlJc w:val="left"/>
      <w:pPr>
        <w:ind w:left="7370" w:hanging="721"/>
      </w:pPr>
      <w:rPr>
        <w:rFonts w:hint="default"/>
        <w:lang w:val="en-GB" w:eastAsia="en-GB" w:bidi="en-GB"/>
      </w:rPr>
    </w:lvl>
    <w:lvl w:ilvl="8" w:tplc="E7066224">
      <w:numFmt w:val="bullet"/>
      <w:lvlText w:val="•"/>
      <w:lvlJc w:val="left"/>
      <w:pPr>
        <w:ind w:left="8312" w:hanging="721"/>
      </w:pPr>
      <w:rPr>
        <w:rFonts w:hint="default"/>
        <w:lang w:val="en-GB" w:eastAsia="en-GB" w:bidi="en-GB"/>
      </w:rPr>
    </w:lvl>
  </w:abstractNum>
  <w:abstractNum w:abstractNumId="2" w15:restartNumberingAfterBreak="0">
    <w:nsid w:val="2A6A59BA"/>
    <w:multiLevelType w:val="hybridMultilevel"/>
    <w:tmpl w:val="1602CD6C"/>
    <w:lvl w:ilvl="0" w:tplc="4C583A14">
      <w:start w:val="9"/>
      <w:numFmt w:val="decimal"/>
      <w:lvlText w:val="%1."/>
      <w:lvlJc w:val="left"/>
      <w:pPr>
        <w:ind w:left="777" w:hanging="721"/>
      </w:pPr>
      <w:rPr>
        <w:rFonts w:ascii="Calibri" w:eastAsia="Calibri" w:hAnsi="Calibri" w:cs="Calibri" w:hint="default"/>
        <w:spacing w:val="-25"/>
        <w:w w:val="100"/>
        <w:sz w:val="24"/>
        <w:szCs w:val="24"/>
        <w:lang w:val="en-GB" w:eastAsia="en-GB" w:bidi="en-GB"/>
      </w:rPr>
    </w:lvl>
    <w:lvl w:ilvl="1" w:tplc="6CCA0CAE">
      <w:numFmt w:val="bullet"/>
      <w:lvlText w:val="•"/>
      <w:lvlJc w:val="left"/>
      <w:pPr>
        <w:ind w:left="1721" w:hanging="721"/>
      </w:pPr>
      <w:rPr>
        <w:rFonts w:hint="default"/>
        <w:lang w:val="en-GB" w:eastAsia="en-GB" w:bidi="en-GB"/>
      </w:rPr>
    </w:lvl>
    <w:lvl w:ilvl="2" w:tplc="E2F8C6AA">
      <w:numFmt w:val="bullet"/>
      <w:lvlText w:val="•"/>
      <w:lvlJc w:val="left"/>
      <w:pPr>
        <w:ind w:left="2663" w:hanging="721"/>
      </w:pPr>
      <w:rPr>
        <w:rFonts w:hint="default"/>
        <w:lang w:val="en-GB" w:eastAsia="en-GB" w:bidi="en-GB"/>
      </w:rPr>
    </w:lvl>
    <w:lvl w:ilvl="3" w:tplc="213C867A">
      <w:numFmt w:val="bullet"/>
      <w:lvlText w:val="•"/>
      <w:lvlJc w:val="left"/>
      <w:pPr>
        <w:ind w:left="3604" w:hanging="721"/>
      </w:pPr>
      <w:rPr>
        <w:rFonts w:hint="default"/>
        <w:lang w:val="en-GB" w:eastAsia="en-GB" w:bidi="en-GB"/>
      </w:rPr>
    </w:lvl>
    <w:lvl w:ilvl="4" w:tplc="9404FB7A">
      <w:numFmt w:val="bullet"/>
      <w:lvlText w:val="•"/>
      <w:lvlJc w:val="left"/>
      <w:pPr>
        <w:ind w:left="4546" w:hanging="721"/>
      </w:pPr>
      <w:rPr>
        <w:rFonts w:hint="default"/>
        <w:lang w:val="en-GB" w:eastAsia="en-GB" w:bidi="en-GB"/>
      </w:rPr>
    </w:lvl>
    <w:lvl w:ilvl="5" w:tplc="133C41DA">
      <w:numFmt w:val="bullet"/>
      <w:lvlText w:val="•"/>
      <w:lvlJc w:val="left"/>
      <w:pPr>
        <w:ind w:left="5487" w:hanging="721"/>
      </w:pPr>
      <w:rPr>
        <w:rFonts w:hint="default"/>
        <w:lang w:val="en-GB" w:eastAsia="en-GB" w:bidi="en-GB"/>
      </w:rPr>
    </w:lvl>
    <w:lvl w:ilvl="6" w:tplc="D010759E">
      <w:numFmt w:val="bullet"/>
      <w:lvlText w:val="•"/>
      <w:lvlJc w:val="left"/>
      <w:pPr>
        <w:ind w:left="6429" w:hanging="721"/>
      </w:pPr>
      <w:rPr>
        <w:rFonts w:hint="default"/>
        <w:lang w:val="en-GB" w:eastAsia="en-GB" w:bidi="en-GB"/>
      </w:rPr>
    </w:lvl>
    <w:lvl w:ilvl="7" w:tplc="C936A3D6">
      <w:numFmt w:val="bullet"/>
      <w:lvlText w:val="•"/>
      <w:lvlJc w:val="left"/>
      <w:pPr>
        <w:ind w:left="7370" w:hanging="721"/>
      </w:pPr>
      <w:rPr>
        <w:rFonts w:hint="default"/>
        <w:lang w:val="en-GB" w:eastAsia="en-GB" w:bidi="en-GB"/>
      </w:rPr>
    </w:lvl>
    <w:lvl w:ilvl="8" w:tplc="E6F8754C">
      <w:numFmt w:val="bullet"/>
      <w:lvlText w:val="•"/>
      <w:lvlJc w:val="left"/>
      <w:pPr>
        <w:ind w:left="8312" w:hanging="721"/>
      </w:pPr>
      <w:rPr>
        <w:rFonts w:hint="default"/>
        <w:lang w:val="en-GB" w:eastAsia="en-GB" w:bidi="en-GB"/>
      </w:rPr>
    </w:lvl>
  </w:abstractNum>
  <w:abstractNum w:abstractNumId="3" w15:restartNumberingAfterBreak="0">
    <w:nsid w:val="2B3C45E3"/>
    <w:multiLevelType w:val="hybridMultilevel"/>
    <w:tmpl w:val="AD726AD6"/>
    <w:lvl w:ilvl="0" w:tplc="12661FEE">
      <w:start w:val="15"/>
      <w:numFmt w:val="decimal"/>
      <w:lvlText w:val="%1."/>
      <w:lvlJc w:val="left"/>
      <w:pPr>
        <w:ind w:left="777" w:hanging="721"/>
        <w:jc w:val="left"/>
      </w:pPr>
      <w:rPr>
        <w:rFonts w:ascii="Calibri" w:eastAsia="Calibri" w:hAnsi="Calibri" w:cs="Calibri" w:hint="default"/>
        <w:spacing w:val="-19"/>
        <w:w w:val="100"/>
        <w:sz w:val="24"/>
        <w:szCs w:val="24"/>
        <w:lang w:val="en-GB" w:eastAsia="en-GB" w:bidi="en-GB"/>
      </w:rPr>
    </w:lvl>
    <w:lvl w:ilvl="1" w:tplc="42CA92F0">
      <w:numFmt w:val="bullet"/>
      <w:lvlText w:val="•"/>
      <w:lvlJc w:val="left"/>
      <w:pPr>
        <w:ind w:left="1721" w:hanging="721"/>
      </w:pPr>
      <w:rPr>
        <w:rFonts w:hint="default"/>
        <w:lang w:val="en-GB" w:eastAsia="en-GB" w:bidi="en-GB"/>
      </w:rPr>
    </w:lvl>
    <w:lvl w:ilvl="2" w:tplc="AC0AA396">
      <w:numFmt w:val="bullet"/>
      <w:lvlText w:val="•"/>
      <w:lvlJc w:val="left"/>
      <w:pPr>
        <w:ind w:left="2663" w:hanging="721"/>
      </w:pPr>
      <w:rPr>
        <w:rFonts w:hint="default"/>
        <w:lang w:val="en-GB" w:eastAsia="en-GB" w:bidi="en-GB"/>
      </w:rPr>
    </w:lvl>
    <w:lvl w:ilvl="3" w:tplc="2CD8AD5A">
      <w:numFmt w:val="bullet"/>
      <w:lvlText w:val="•"/>
      <w:lvlJc w:val="left"/>
      <w:pPr>
        <w:ind w:left="3604" w:hanging="721"/>
      </w:pPr>
      <w:rPr>
        <w:rFonts w:hint="default"/>
        <w:lang w:val="en-GB" w:eastAsia="en-GB" w:bidi="en-GB"/>
      </w:rPr>
    </w:lvl>
    <w:lvl w:ilvl="4" w:tplc="07EAE598">
      <w:numFmt w:val="bullet"/>
      <w:lvlText w:val="•"/>
      <w:lvlJc w:val="left"/>
      <w:pPr>
        <w:ind w:left="4546" w:hanging="721"/>
      </w:pPr>
      <w:rPr>
        <w:rFonts w:hint="default"/>
        <w:lang w:val="en-GB" w:eastAsia="en-GB" w:bidi="en-GB"/>
      </w:rPr>
    </w:lvl>
    <w:lvl w:ilvl="5" w:tplc="74463048">
      <w:numFmt w:val="bullet"/>
      <w:lvlText w:val="•"/>
      <w:lvlJc w:val="left"/>
      <w:pPr>
        <w:ind w:left="5487" w:hanging="721"/>
      </w:pPr>
      <w:rPr>
        <w:rFonts w:hint="default"/>
        <w:lang w:val="en-GB" w:eastAsia="en-GB" w:bidi="en-GB"/>
      </w:rPr>
    </w:lvl>
    <w:lvl w:ilvl="6" w:tplc="91306642">
      <w:numFmt w:val="bullet"/>
      <w:lvlText w:val="•"/>
      <w:lvlJc w:val="left"/>
      <w:pPr>
        <w:ind w:left="6429" w:hanging="721"/>
      </w:pPr>
      <w:rPr>
        <w:rFonts w:hint="default"/>
        <w:lang w:val="en-GB" w:eastAsia="en-GB" w:bidi="en-GB"/>
      </w:rPr>
    </w:lvl>
    <w:lvl w:ilvl="7" w:tplc="67B275B6">
      <w:numFmt w:val="bullet"/>
      <w:lvlText w:val="•"/>
      <w:lvlJc w:val="left"/>
      <w:pPr>
        <w:ind w:left="7370" w:hanging="721"/>
      </w:pPr>
      <w:rPr>
        <w:rFonts w:hint="default"/>
        <w:lang w:val="en-GB" w:eastAsia="en-GB" w:bidi="en-GB"/>
      </w:rPr>
    </w:lvl>
    <w:lvl w:ilvl="8" w:tplc="3B4EB1A6">
      <w:numFmt w:val="bullet"/>
      <w:lvlText w:val="•"/>
      <w:lvlJc w:val="left"/>
      <w:pPr>
        <w:ind w:left="8312" w:hanging="721"/>
      </w:pPr>
      <w:rPr>
        <w:rFonts w:hint="default"/>
        <w:lang w:val="en-GB" w:eastAsia="en-GB" w:bidi="en-GB"/>
      </w:rPr>
    </w:lvl>
  </w:abstractNum>
  <w:abstractNum w:abstractNumId="4" w15:restartNumberingAfterBreak="0">
    <w:nsid w:val="69941A2F"/>
    <w:multiLevelType w:val="hybridMultilevel"/>
    <w:tmpl w:val="8B8266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72584A"/>
    <w:multiLevelType w:val="hybridMultilevel"/>
    <w:tmpl w:val="A03467C8"/>
    <w:lvl w:ilvl="0" w:tplc="FF0642F0">
      <w:start w:val="27"/>
      <w:numFmt w:val="decimal"/>
      <w:lvlText w:val="%1."/>
      <w:lvlJc w:val="left"/>
      <w:pPr>
        <w:ind w:left="777" w:hanging="721"/>
        <w:jc w:val="left"/>
      </w:pPr>
      <w:rPr>
        <w:rFonts w:hint="default"/>
        <w:b/>
        <w:bCs/>
        <w:spacing w:val="-24"/>
        <w:w w:val="100"/>
        <w:lang w:val="en-GB" w:eastAsia="en-GB" w:bidi="en-GB"/>
      </w:rPr>
    </w:lvl>
    <w:lvl w:ilvl="1" w:tplc="77D46C0C">
      <w:numFmt w:val="bullet"/>
      <w:lvlText w:val="o"/>
      <w:lvlJc w:val="left"/>
      <w:pPr>
        <w:ind w:left="1497" w:hanging="360"/>
      </w:pPr>
      <w:rPr>
        <w:rFonts w:ascii="Courier New" w:eastAsia="Courier New" w:hAnsi="Courier New" w:cs="Courier New" w:hint="default"/>
        <w:w w:val="100"/>
        <w:sz w:val="22"/>
        <w:szCs w:val="22"/>
        <w:lang w:val="en-GB" w:eastAsia="en-GB" w:bidi="en-GB"/>
      </w:rPr>
    </w:lvl>
    <w:lvl w:ilvl="2" w:tplc="6D8E6D96">
      <w:numFmt w:val="bullet"/>
      <w:lvlText w:val="•"/>
      <w:lvlJc w:val="left"/>
      <w:pPr>
        <w:ind w:left="2466" w:hanging="360"/>
      </w:pPr>
      <w:rPr>
        <w:rFonts w:hint="default"/>
        <w:lang w:val="en-GB" w:eastAsia="en-GB" w:bidi="en-GB"/>
      </w:rPr>
    </w:lvl>
    <w:lvl w:ilvl="3" w:tplc="7840C0D2">
      <w:numFmt w:val="bullet"/>
      <w:lvlText w:val="•"/>
      <w:lvlJc w:val="left"/>
      <w:pPr>
        <w:ind w:left="3432" w:hanging="360"/>
      </w:pPr>
      <w:rPr>
        <w:rFonts w:hint="default"/>
        <w:lang w:val="en-GB" w:eastAsia="en-GB" w:bidi="en-GB"/>
      </w:rPr>
    </w:lvl>
    <w:lvl w:ilvl="4" w:tplc="B44AE79E">
      <w:numFmt w:val="bullet"/>
      <w:lvlText w:val="•"/>
      <w:lvlJc w:val="left"/>
      <w:pPr>
        <w:ind w:left="4398" w:hanging="360"/>
      </w:pPr>
      <w:rPr>
        <w:rFonts w:hint="default"/>
        <w:lang w:val="en-GB" w:eastAsia="en-GB" w:bidi="en-GB"/>
      </w:rPr>
    </w:lvl>
    <w:lvl w:ilvl="5" w:tplc="4D5C5852">
      <w:numFmt w:val="bullet"/>
      <w:lvlText w:val="•"/>
      <w:lvlJc w:val="left"/>
      <w:pPr>
        <w:ind w:left="5364" w:hanging="360"/>
      </w:pPr>
      <w:rPr>
        <w:rFonts w:hint="default"/>
        <w:lang w:val="en-GB" w:eastAsia="en-GB" w:bidi="en-GB"/>
      </w:rPr>
    </w:lvl>
    <w:lvl w:ilvl="6" w:tplc="D77C4A7A">
      <w:numFmt w:val="bullet"/>
      <w:lvlText w:val="•"/>
      <w:lvlJc w:val="left"/>
      <w:pPr>
        <w:ind w:left="6330" w:hanging="360"/>
      </w:pPr>
      <w:rPr>
        <w:rFonts w:hint="default"/>
        <w:lang w:val="en-GB" w:eastAsia="en-GB" w:bidi="en-GB"/>
      </w:rPr>
    </w:lvl>
    <w:lvl w:ilvl="7" w:tplc="964A1186">
      <w:numFmt w:val="bullet"/>
      <w:lvlText w:val="•"/>
      <w:lvlJc w:val="left"/>
      <w:pPr>
        <w:ind w:left="7296" w:hanging="360"/>
      </w:pPr>
      <w:rPr>
        <w:rFonts w:hint="default"/>
        <w:lang w:val="en-GB" w:eastAsia="en-GB" w:bidi="en-GB"/>
      </w:rPr>
    </w:lvl>
    <w:lvl w:ilvl="8" w:tplc="A112DC56">
      <w:numFmt w:val="bullet"/>
      <w:lvlText w:val="•"/>
      <w:lvlJc w:val="left"/>
      <w:pPr>
        <w:ind w:left="8262" w:hanging="360"/>
      </w:pPr>
      <w:rPr>
        <w:rFonts w:hint="default"/>
        <w:lang w:val="en-GB" w:eastAsia="en-GB" w:bidi="en-GB"/>
      </w:rPr>
    </w:lvl>
  </w:abstractNum>
  <w:abstractNum w:abstractNumId="6" w15:restartNumberingAfterBreak="0">
    <w:nsid w:val="6D830218"/>
    <w:multiLevelType w:val="multilevel"/>
    <w:tmpl w:val="12FA4D1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7" w15:restartNumberingAfterBreak="0">
    <w:nsid w:val="7217329A"/>
    <w:multiLevelType w:val="hybridMultilevel"/>
    <w:tmpl w:val="EB0CB596"/>
    <w:lvl w:ilvl="0" w:tplc="AD2AC448">
      <w:start w:val="12"/>
      <w:numFmt w:val="decimal"/>
      <w:lvlText w:val="%1."/>
      <w:lvlJc w:val="left"/>
      <w:pPr>
        <w:ind w:left="777" w:hanging="721"/>
        <w:jc w:val="left"/>
      </w:pPr>
      <w:rPr>
        <w:rFonts w:ascii="Calibri" w:eastAsia="Calibri" w:hAnsi="Calibri" w:cs="Calibri" w:hint="default"/>
        <w:spacing w:val="-4"/>
        <w:w w:val="100"/>
        <w:sz w:val="24"/>
        <w:szCs w:val="24"/>
        <w:lang w:val="en-GB" w:eastAsia="en-GB" w:bidi="en-GB"/>
      </w:rPr>
    </w:lvl>
    <w:lvl w:ilvl="1" w:tplc="822E9CF4">
      <w:numFmt w:val="bullet"/>
      <w:lvlText w:val="o"/>
      <w:lvlJc w:val="left"/>
      <w:pPr>
        <w:ind w:left="1190" w:hanging="425"/>
      </w:pPr>
      <w:rPr>
        <w:rFonts w:ascii="Courier New" w:eastAsia="Courier New" w:hAnsi="Courier New" w:cs="Courier New" w:hint="default"/>
        <w:w w:val="100"/>
        <w:sz w:val="22"/>
        <w:szCs w:val="22"/>
        <w:lang w:val="en-GB" w:eastAsia="en-GB" w:bidi="en-GB"/>
      </w:rPr>
    </w:lvl>
    <w:lvl w:ilvl="2" w:tplc="CBEE1D6E">
      <w:numFmt w:val="bullet"/>
      <w:lvlText w:val="•"/>
      <w:lvlJc w:val="left"/>
      <w:pPr>
        <w:ind w:left="1500" w:hanging="425"/>
      </w:pPr>
      <w:rPr>
        <w:rFonts w:hint="default"/>
        <w:lang w:val="en-GB" w:eastAsia="en-GB" w:bidi="en-GB"/>
      </w:rPr>
    </w:lvl>
    <w:lvl w:ilvl="3" w:tplc="79E0214C">
      <w:numFmt w:val="bullet"/>
      <w:lvlText w:val="•"/>
      <w:lvlJc w:val="left"/>
      <w:pPr>
        <w:ind w:left="2586" w:hanging="425"/>
      </w:pPr>
      <w:rPr>
        <w:rFonts w:hint="default"/>
        <w:lang w:val="en-GB" w:eastAsia="en-GB" w:bidi="en-GB"/>
      </w:rPr>
    </w:lvl>
    <w:lvl w:ilvl="4" w:tplc="EA8456FA">
      <w:numFmt w:val="bullet"/>
      <w:lvlText w:val="•"/>
      <w:lvlJc w:val="left"/>
      <w:pPr>
        <w:ind w:left="3673" w:hanging="425"/>
      </w:pPr>
      <w:rPr>
        <w:rFonts w:hint="default"/>
        <w:lang w:val="en-GB" w:eastAsia="en-GB" w:bidi="en-GB"/>
      </w:rPr>
    </w:lvl>
    <w:lvl w:ilvl="5" w:tplc="0A0CD396">
      <w:numFmt w:val="bullet"/>
      <w:lvlText w:val="•"/>
      <w:lvlJc w:val="left"/>
      <w:pPr>
        <w:ind w:left="4760" w:hanging="425"/>
      </w:pPr>
      <w:rPr>
        <w:rFonts w:hint="default"/>
        <w:lang w:val="en-GB" w:eastAsia="en-GB" w:bidi="en-GB"/>
      </w:rPr>
    </w:lvl>
    <w:lvl w:ilvl="6" w:tplc="B2AE3EE2">
      <w:numFmt w:val="bullet"/>
      <w:lvlText w:val="•"/>
      <w:lvlJc w:val="left"/>
      <w:pPr>
        <w:ind w:left="5847" w:hanging="425"/>
      </w:pPr>
      <w:rPr>
        <w:rFonts w:hint="default"/>
        <w:lang w:val="en-GB" w:eastAsia="en-GB" w:bidi="en-GB"/>
      </w:rPr>
    </w:lvl>
    <w:lvl w:ilvl="7" w:tplc="AFF25596">
      <w:numFmt w:val="bullet"/>
      <w:lvlText w:val="•"/>
      <w:lvlJc w:val="left"/>
      <w:pPr>
        <w:ind w:left="6934" w:hanging="425"/>
      </w:pPr>
      <w:rPr>
        <w:rFonts w:hint="default"/>
        <w:lang w:val="en-GB" w:eastAsia="en-GB" w:bidi="en-GB"/>
      </w:rPr>
    </w:lvl>
    <w:lvl w:ilvl="8" w:tplc="E104E720">
      <w:numFmt w:val="bullet"/>
      <w:lvlText w:val="•"/>
      <w:lvlJc w:val="left"/>
      <w:pPr>
        <w:ind w:left="8021" w:hanging="425"/>
      </w:pPr>
      <w:rPr>
        <w:rFonts w:hint="default"/>
        <w:lang w:val="en-GB" w:eastAsia="en-GB" w:bidi="en-GB"/>
      </w:rPr>
    </w:lvl>
  </w:abstractNum>
  <w:abstractNum w:abstractNumId="8" w15:restartNumberingAfterBreak="0">
    <w:nsid w:val="75574AB5"/>
    <w:multiLevelType w:val="hybridMultilevel"/>
    <w:tmpl w:val="8CE600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B372EA2"/>
    <w:multiLevelType w:val="multilevel"/>
    <w:tmpl w:val="9822BDCE"/>
    <w:lvl w:ilvl="0">
      <w:start w:val="1"/>
      <w:numFmt w:val="decimal"/>
      <w:lvlText w:val="%1."/>
      <w:lvlJc w:val="left"/>
      <w:pPr>
        <w:tabs>
          <w:tab w:val="num" w:pos="720"/>
        </w:tabs>
        <w:ind w:left="720" w:hanging="360"/>
      </w:pPr>
      <w:rPr>
        <w:rFonts w:ascii="Calibri" w:hAnsi="Calibri" w:hint="default"/>
        <w:b w:val="0"/>
        <w:bCs/>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7"/>
  </w:num>
  <w:num w:numId="4">
    <w:abstractNumId w:val="3"/>
  </w:num>
  <w:num w:numId="5">
    <w:abstractNumId w:val="5"/>
  </w:num>
  <w:num w:numId="6">
    <w:abstractNumId w:val="0"/>
  </w:num>
  <w:num w:numId="7">
    <w:abstractNumId w:val="9"/>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90C"/>
    <w:rsid w:val="003B4646"/>
    <w:rsid w:val="00672D82"/>
    <w:rsid w:val="00A0290C"/>
    <w:rsid w:val="00D83A9B"/>
    <w:rsid w:val="00ED3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CF9FA-91D9-4675-8174-9D1C5A126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3B4646"/>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0290C"/>
    <w:pPr>
      <w:widowControl w:val="0"/>
      <w:autoSpaceDE w:val="0"/>
      <w:autoSpaceDN w:val="0"/>
      <w:spacing w:after="0" w:line="240" w:lineRule="auto"/>
    </w:pPr>
    <w:rPr>
      <w:rFonts w:ascii="Arial" w:eastAsia="Arial" w:hAnsi="Arial" w:cs="Arial"/>
      <w:b/>
      <w:bCs/>
      <w:sz w:val="28"/>
      <w:szCs w:val="28"/>
      <w:lang w:eastAsia="en-GB" w:bidi="en-GB"/>
    </w:rPr>
  </w:style>
  <w:style w:type="character" w:customStyle="1" w:styleId="BodyTextChar">
    <w:name w:val="Body Text Char"/>
    <w:basedOn w:val="DefaultParagraphFont"/>
    <w:link w:val="BodyText"/>
    <w:uiPriority w:val="1"/>
    <w:rsid w:val="00A0290C"/>
    <w:rPr>
      <w:rFonts w:ascii="Arial" w:eastAsia="Arial" w:hAnsi="Arial" w:cs="Arial"/>
      <w:b/>
      <w:bCs/>
      <w:sz w:val="28"/>
      <w:szCs w:val="28"/>
      <w:lang w:eastAsia="en-GB" w:bidi="en-GB"/>
    </w:rPr>
  </w:style>
  <w:style w:type="paragraph" w:customStyle="1" w:styleId="TableParagraph">
    <w:name w:val="Table Paragraph"/>
    <w:basedOn w:val="Normal"/>
    <w:uiPriority w:val="1"/>
    <w:qFormat/>
    <w:rsid w:val="00A0290C"/>
    <w:pPr>
      <w:widowControl w:val="0"/>
      <w:autoSpaceDE w:val="0"/>
      <w:autoSpaceDN w:val="0"/>
      <w:spacing w:after="0" w:line="240" w:lineRule="auto"/>
    </w:pPr>
    <w:rPr>
      <w:rFonts w:ascii="Calibri" w:eastAsia="Calibri" w:hAnsi="Calibri" w:cs="Calibri"/>
      <w:lang w:eastAsia="en-GB" w:bidi="en-GB"/>
    </w:rPr>
  </w:style>
  <w:style w:type="paragraph" w:styleId="ListParagraph">
    <w:name w:val="List Paragraph"/>
    <w:basedOn w:val="Normal"/>
    <w:uiPriority w:val="34"/>
    <w:qFormat/>
    <w:rsid w:val="00A0290C"/>
    <w:pPr>
      <w:ind w:left="720"/>
      <w:contextualSpacing/>
    </w:pPr>
  </w:style>
  <w:style w:type="character" w:customStyle="1" w:styleId="Heading2Char">
    <w:name w:val="Heading 2 Char"/>
    <w:basedOn w:val="DefaultParagraphFont"/>
    <w:link w:val="Heading2"/>
    <w:rsid w:val="003B4646"/>
    <w:rPr>
      <w:rFonts w:ascii="Arial" w:eastAsia="Times New Roman" w:hAnsi="Arial" w:cs="Arial"/>
      <w:b/>
      <w:bCs/>
      <w:i/>
      <w:iCs/>
      <w:sz w:val="28"/>
      <w:szCs w:val="28"/>
    </w:rPr>
  </w:style>
  <w:style w:type="paragraph" w:customStyle="1" w:styleId="Default">
    <w:name w:val="Default"/>
    <w:rsid w:val="003B4646"/>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3747</Words>
  <Characters>21358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McGuinness</dc:creator>
  <cp:keywords/>
  <dc:description/>
  <cp:lastModifiedBy>Tom Lewis</cp:lastModifiedBy>
  <cp:revision>4</cp:revision>
  <dcterms:created xsi:type="dcterms:W3CDTF">2021-08-31T10:24:00Z</dcterms:created>
  <dcterms:modified xsi:type="dcterms:W3CDTF">2021-09-16T10:50:00Z</dcterms:modified>
</cp:coreProperties>
</file>